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keepNext w:val="true"/>
        <w:keepLines/>
        <w:spacing w:before="480" w:after="240"/>
        <w:jc w:val="center"/>
        <w:rPr/>
      </w:pPr>
      <w:r>
        <w:rPr/>
        <w:t>Window Image Builder — User Guide</w:t>
      </w:r>
    </w:p>
    <w:p>
      <w:pPr>
        <w:pStyle w:val="FirstParagraph"/>
        <w:rPr/>
      </w:pPr>
      <w:r>
        <w:rPr/>
      </w:r>
    </w:p>
    <w:p>
      <w:pPr>
        <w:pStyle w:val="Heading1"/>
        <w:rPr/>
      </w:pPr>
      <w:bookmarkStart w:id="0" w:name="window-image-builder"/>
      <w:r>
        <w:rPr/>
        <w:t>Window Image Builder</w:t>
      </w:r>
    </w:p>
    <w:p>
      <w:pPr>
        <w:pStyle w:val="FirstParagraph"/>
        <w:rPr/>
      </w:pPr>
      <w:r>
        <w:rPr/>
        <w:t>User guide — build deployment-ready Windows images with the right drivers baked in.</w:t>
      </w:r>
    </w:p>
    <w:p>
      <w:pPr>
        <w:pStyle w:val="BodyText"/>
        <w:rPr/>
      </w:pPr>
      <w:bookmarkStart w:id="1" w:name="window-image-builder"/>
      <w:r>
        <w:rPr/>
        <w:t>Community Version 1.1.0  ·  .NET 10 · WPF · DISM engine  ·  LABDEMO</w:t>
      </w:r>
      <w:bookmarkEnd w:id="1"/>
    </w:p>
    <w:p>
      <w:pPr>
        <w:pStyle w:val="BodyText"/>
        <w:rPr/>
      </w:pPr>
      <w:r>
        <w:rPr>
          <w:b/>
          <w:bCs/>
        </w:rPr>
        <w:t>Contents</w:t>
      </w:r>
    </w:p>
    <w:p>
      <w:pPr>
        <w:pStyle w:val="BodyText"/>
        <w:rPr/>
      </w:pPr>
      <w:hyperlink w:anchor="what">
        <w:r>
          <w:rPr>
            <w:rStyle w:val="Hyperlink"/>
          </w:rPr>
          <w:t>1. What it is</w:t>
        </w:r>
      </w:hyperlink>
    </w:p>
    <w:p>
      <w:pPr>
        <w:pStyle w:val="BodyText"/>
        <w:rPr/>
      </w:pPr>
      <w:hyperlink w:anchor="prereq">
        <w:r>
          <w:rPr>
            <w:rStyle w:val="Hyperlink"/>
          </w:rPr>
          <w:t>2. Before you start</w:t>
        </w:r>
      </w:hyperlink>
    </w:p>
    <w:p>
      <w:pPr>
        <w:pStyle w:val="BodyText"/>
        <w:rPr/>
      </w:pPr>
      <w:hyperlink w:anchor="work">
        <w:r>
          <w:rPr>
            <w:rStyle w:val="Hyperlink"/>
          </w:rPr>
          <w:t>3. The working folder &amp; disk space</w:t>
        </w:r>
      </w:hyperlink>
    </w:p>
    <w:p>
      <w:pPr>
        <w:pStyle w:val="BodyText"/>
        <w:rPr/>
      </w:pPr>
      <w:hyperlink w:anchor="flow">
        <w:r>
          <w:rPr>
            <w:rStyle w:val="Hyperlink"/>
          </w:rPr>
          <w:t>4. Step-by-step</w:t>
        </w:r>
      </w:hyperlink>
    </w:p>
    <w:p>
      <w:pPr>
        <w:pStyle w:val="BodyText"/>
        <w:rPr/>
      </w:pPr>
      <w:hyperlink w:anchor="dell">
        <w:r>
          <w:rPr>
            <w:rStyle w:val="Hyperlink"/>
          </w:rPr>
          <w:t>5. OEM driver catalogs (Dell · HP · Lenovo)</w:t>
        </w:r>
      </w:hyperlink>
    </w:p>
    <w:p>
      <w:pPr>
        <w:pStyle w:val="BodyText"/>
        <w:rPr/>
      </w:pPr>
      <w:hyperlink w:anchor="vendors">
        <w:r>
          <w:rPr>
            <w:rStyle w:val="Hyperlink"/>
          </w:rPr>
          <w:t>6. Local drive &amp; manual packs</w:t>
        </w:r>
      </w:hyperlink>
    </w:p>
    <w:p>
      <w:pPr>
        <w:pStyle w:val="BodyText"/>
        <w:rPr/>
      </w:pPr>
      <w:hyperlink w:anchor="settings">
        <w:r>
          <w:rPr>
            <w:rStyle w:val="Hyperlink"/>
          </w:rPr>
          <w:t>7. Settings — every option</w:t>
        </w:r>
      </w:hyperlink>
    </w:p>
    <w:p>
      <w:pPr>
        <w:pStyle w:val="BodyText"/>
        <w:rPr/>
      </w:pPr>
      <w:hyperlink w:anchor="integrate">
        <w:r>
          <w:rPr>
            <w:rStyle w:val="Hyperlink"/>
          </w:rPr>
          <w:t>8. Build, Log &amp; output</w:t>
        </w:r>
      </w:hyperlink>
    </w:p>
    <w:p>
      <w:pPr>
        <w:pStyle w:val="BodyText"/>
        <w:rPr/>
      </w:pPr>
      <w:hyperlink w:anchor="tips">
        <w:r>
          <w:rPr>
            <w:rStyle w:val="Hyperlink"/>
          </w:rPr>
          <w:t>9. Tips &amp; troubleshooting</w:t>
        </w:r>
      </w:hyperlink>
    </w:p>
    <w:p>
      <w:pPr>
        <w:pStyle w:val="Heading2"/>
        <w:rPr/>
      </w:pPr>
      <w:bookmarkStart w:id="2" w:name="what"/>
      <w:r>
        <w:rPr/>
        <w:t>1. What it is</w:t>
      </w:r>
    </w:p>
    <w:p>
      <w:pPr>
        <w:pStyle w:val="FirstParagraph"/>
        <w:rPr/>
      </w:pPr>
      <w:r>
        <w:rPr/>
        <w:t xml:space="preserve">Window Image Builder is a DISM-based tool for producing deployment-ready Windows images with the correct drivers already integrated. You move left to right through the rail: pick a base image, choose driver packs, set cleanup and provisioning, then integrate to a bootable ISO or an updated offline image. It wraps the standard Windows servicing tools (DISM for mounting/injection, </w:t>
      </w:r>
      <w:r>
        <w:rPr>
          <w:rStyle w:val="VerbatimChar"/>
        </w:rPr>
        <w:t>oscdimg</w:t>
      </w:r>
      <w:r>
        <w:rPr/>
        <w:t xml:space="preserve"> for ISO creation) behind a simple wizard, and adds first-class online driver catalogs for Dell, HP and Lenovo.</w:t>
      </w:r>
      <w:bookmarkEnd w:id="2"/>
    </w:p>
    <w:p>
      <w:pPr>
        <w:pStyle w:val="Heading2"/>
        <w:rPr/>
      </w:pPr>
      <w:r>
        <w:rPr/>
        <w:t>2. Before you start</w:t>
      </w:r>
    </w:p>
    <w:tbl>
      <w:tblPr>
        <w:tblStyle w:val="Table"/>
        <w:tblW w:w="7920" w:type="dxa"/>
        <w:jc w:val="start"/>
        <w:tblInd w:w="108" w:type="dxa"/>
        <w:tblLayout w:type="fixed"/>
        <w:tblCellMar>
          <w:top w:w="0" w:type="dxa"/>
          <w:start w:w="108" w:type="dxa"/>
          <w:bottom w:w="0" w:type="dxa"/>
          <w:end w:w="108" w:type="dxa"/>
        </w:tblCellMar>
        <w:tblLook w:val="0020" w:noHBand="0" w:noVBand="0" w:firstColumn="0" w:lastRow="0" w:lastColumn="0" w:firstRow="1"/>
      </w:tblPr>
      <w:tblGrid>
        <w:gridCol w:w="3960"/>
        <w:gridCol w:w="3959"/>
      </w:tblGrid>
      <w:tr>
        <w:trPr>
          <w:tblHeader w:val="true"/>
        </w:trPr>
        <w:tc>
          <w:tcPr>
            <w:tcW w:w="3960" w:type="dxa"/>
            <w:tcBorders>
              <w:bottom w:val="single" w:sz="6" w:space="0" w:color="000000"/>
            </w:tcBorders>
            <w:vAlign w:val="bottom"/>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Requirement</w:t>
            </w:r>
          </w:p>
        </w:tc>
        <w:tc>
          <w:tcPr>
            <w:tcW w:w="3959" w:type="dxa"/>
            <w:tcBorders>
              <w:bottom w:val="single" w:sz="6" w:space="0" w:color="000000"/>
            </w:tcBorders>
            <w:vAlign w:val="bottom"/>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Why</w:t>
            </w:r>
          </w:p>
        </w:tc>
      </w:tr>
      <w:tr>
        <w:trPr/>
        <w:tc>
          <w:tcPr>
            <w:tcW w:w="3960"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 xml:space="preserve">Windows 64-bit, </w:t>
            </w:r>
            <w:r>
              <w:rPr>
                <w:rFonts w:eastAsia="Cambria" w:cs=""/>
                <w:b/>
                <w:bCs/>
                <w:kern w:val="0"/>
                <w:sz w:val="24"/>
                <w:szCs w:val="24"/>
                <w:lang w:val="en-US" w:eastAsia="en-US" w:bidi="ar-SA"/>
              </w:rPr>
              <w:t>run as Administrator</w:t>
            </w:r>
          </w:p>
        </w:tc>
        <w:tc>
          <w:tcPr>
            <w:tcW w:w="3959"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DISM mounts the offline image, which needs elevation.</w:t>
            </w:r>
          </w:p>
        </w:tc>
      </w:tr>
      <w:tr>
        <w:trPr/>
        <w:tc>
          <w:tcPr>
            <w:tcW w:w="3960"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 xml:space="preserve">Windows ADK — </w:t>
            </w:r>
            <w:r>
              <w:rPr>
                <w:rFonts w:eastAsia="Cambria" w:cs=""/>
                <w:b/>
                <w:bCs/>
                <w:kern w:val="0"/>
                <w:sz w:val="24"/>
                <w:szCs w:val="24"/>
                <w:lang w:val="en-US" w:eastAsia="en-US" w:bidi="ar-SA"/>
              </w:rPr>
              <w:t>Deployment Tools</w:t>
            </w:r>
            <w:r>
              <w:rPr>
                <w:rFonts w:eastAsia="Cambria" w:cs=""/>
                <w:kern w:val="0"/>
                <w:sz w:val="24"/>
                <w:szCs w:val="24"/>
                <w:lang w:val="en-US" w:eastAsia="en-US" w:bidi="ar-SA"/>
              </w:rPr>
              <w:t xml:space="preserve"> (</w:t>
            </w:r>
            <w:r>
              <w:rPr>
                <w:rStyle w:val="VerbatimChar"/>
                <w:rFonts w:eastAsia="Cambria" w:cs=""/>
                <w:kern w:val="0"/>
                <w:szCs w:val="24"/>
                <w:lang w:val="en-US" w:eastAsia="en-US" w:bidi="ar-SA"/>
              </w:rPr>
              <w:t>oscdimg.exe</w:t>
            </w:r>
            <w:r>
              <w:rPr>
                <w:rFonts w:eastAsia="Cambria" w:cs=""/>
                <w:kern w:val="0"/>
                <w:sz w:val="24"/>
                <w:szCs w:val="24"/>
                <w:lang w:val="en-US" w:eastAsia="en-US" w:bidi="ar-SA"/>
              </w:rPr>
              <w:t>)</w:t>
            </w:r>
          </w:p>
        </w:tc>
        <w:tc>
          <w:tcPr>
            <w:tcW w:w="3959"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 xml:space="preserve">Required to write bootable ISOs. Install the minimum feature from </w:t>
            </w:r>
            <w:r>
              <w:rPr>
                <w:rFonts w:eastAsia="Cambria" w:cs=""/>
                <w:i/>
                <w:iCs/>
                <w:kern w:val="0"/>
                <w:sz w:val="24"/>
                <w:szCs w:val="24"/>
                <w:lang w:val="en-US" w:eastAsia="en-US" w:bidi="ar-SA"/>
              </w:rPr>
              <w:t>Settings → Prerequisites</w:t>
            </w:r>
            <w:r>
              <w:rPr>
                <w:rFonts w:eastAsia="Cambria" w:cs=""/>
                <w:kern w:val="0"/>
                <w:sz w:val="24"/>
                <w:szCs w:val="24"/>
                <w:lang w:val="en-US" w:eastAsia="en-US" w:bidi="ar-SA"/>
              </w:rPr>
              <w:t>.</w:t>
            </w:r>
          </w:p>
        </w:tc>
      </w:tr>
      <w:tr>
        <w:trPr/>
        <w:tc>
          <w:tcPr>
            <w:tcW w:w="3960"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 xml:space="preserve">Windows ADK — </w:t>
            </w:r>
            <w:r>
              <w:rPr>
                <w:rFonts w:eastAsia="Cambria" w:cs=""/>
                <w:b/>
                <w:bCs/>
                <w:kern w:val="0"/>
                <w:sz w:val="24"/>
                <w:szCs w:val="24"/>
                <w:lang w:val="en-US" w:eastAsia="en-US" w:bidi="ar-SA"/>
              </w:rPr>
              <w:t>Windows PE add-on</w:t>
            </w:r>
            <w:r>
              <w:rPr>
                <w:rFonts w:eastAsia="Cambria" w:cs=""/>
                <w:kern w:val="0"/>
                <w:sz w:val="24"/>
                <w:szCs w:val="24"/>
                <w:lang w:val="en-US" w:eastAsia="en-US" w:bidi="ar-SA"/>
              </w:rPr>
              <w:t xml:space="preserve"> </w:t>
            </w:r>
            <w:r>
              <w:rPr>
                <w:rFonts w:eastAsia="Cambria" w:cs=""/>
                <w:i/>
                <w:iCs/>
                <w:kern w:val="0"/>
                <w:sz w:val="24"/>
                <w:szCs w:val="24"/>
                <w:lang w:val="en-US" w:eastAsia="en-US" w:bidi="ar-SA"/>
              </w:rPr>
              <w:t>(optional)</w:t>
            </w:r>
          </w:p>
        </w:tc>
        <w:tc>
          <w:tcPr>
            <w:tcW w:w="3959"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 xml:space="preserve">Only needed if you tick </w:t>
            </w:r>
            <w:r>
              <w:rPr>
                <w:rFonts w:eastAsia="Cambria" w:cs=""/>
                <w:i/>
                <w:iCs/>
                <w:kern w:val="0"/>
                <w:sz w:val="24"/>
                <w:szCs w:val="24"/>
                <w:lang w:val="en-US" w:eastAsia="en-US" w:bidi="ar-SA"/>
              </w:rPr>
              <w:t>"Also inject storage drivers into the boot image"</w:t>
            </w:r>
            <w:r>
              <w:rPr>
                <w:rFonts w:eastAsia="Cambria" w:cs=""/>
                <w:kern w:val="0"/>
                <w:sz w:val="24"/>
                <w:szCs w:val="24"/>
                <w:lang w:val="en-US" w:eastAsia="en-US" w:bidi="ar-SA"/>
              </w:rPr>
              <w:t xml:space="preserve"> (for RAID / Intel VMD machines). A </w:t>
            </w:r>
            <w:r>
              <w:rPr>
                <w:rFonts w:eastAsia="Cambria" w:cs=""/>
                <w:b/>
                <w:bCs/>
                <w:kern w:val="0"/>
                <w:sz w:val="24"/>
                <w:szCs w:val="24"/>
                <w:lang w:val="en-US" w:eastAsia="en-US" w:bidi="ar-SA"/>
              </w:rPr>
              <w:t>separate download</w:t>
            </w:r>
            <w:r>
              <w:rPr>
                <w:rFonts w:eastAsia="Cambria" w:cs=""/>
                <w:kern w:val="0"/>
                <w:sz w:val="24"/>
                <w:szCs w:val="24"/>
                <w:lang w:val="en-US" w:eastAsia="en-US" w:bidi="ar-SA"/>
              </w:rPr>
              <w:t xml:space="preserve"> from the Deployment Tools, installed at the </w:t>
            </w:r>
            <w:r>
              <w:rPr>
                <w:rFonts w:eastAsia="Cambria" w:cs=""/>
                <w:b/>
                <w:bCs/>
                <w:kern w:val="0"/>
                <w:sz w:val="24"/>
                <w:szCs w:val="24"/>
                <w:lang w:val="en-US" w:eastAsia="en-US" w:bidi="ar-SA"/>
              </w:rPr>
              <w:t>same ADK version</w:t>
            </w:r>
            <w:r>
              <w:rPr>
                <w:rFonts w:eastAsia="Cambria" w:cs=""/>
                <w:kern w:val="0"/>
                <w:sz w:val="24"/>
                <w:szCs w:val="24"/>
                <w:lang w:val="en-US" w:eastAsia="en-US" w:bidi="ar-SA"/>
              </w:rPr>
              <w:t>. The Prerequisites tab shows it in amber when missing; the build warns before it starts. Not needed for AHCI/NVMe targets or VMs.</w:t>
            </w:r>
          </w:p>
        </w:tc>
      </w:tr>
      <w:tr>
        <w:trPr/>
        <w:tc>
          <w:tcPr>
            <w:tcW w:w="3960"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b/>
                <w:bCs/>
                <w:kern w:val="0"/>
                <w:sz w:val="24"/>
                <w:szCs w:val="24"/>
                <w:lang w:val="en-US" w:eastAsia="en-US" w:bidi="ar-SA"/>
              </w:rPr>
              <w:t>Internet</w:t>
            </w:r>
          </w:p>
        </w:tc>
        <w:tc>
          <w:tcPr>
            <w:tcW w:w="3959"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 xml:space="preserve">For online Dell / HP / Lenovo catalog downloads, the ADK download, and Microsoft 365 provisioning (which downloads on the </w:t>
            </w:r>
            <w:r>
              <w:rPr>
                <w:rFonts w:eastAsia="Cambria" w:cs=""/>
                <w:i/>
                <w:iCs/>
                <w:kern w:val="0"/>
                <w:sz w:val="24"/>
                <w:szCs w:val="24"/>
                <w:lang w:val="en-US" w:eastAsia="en-US" w:bidi="ar-SA"/>
              </w:rPr>
              <w:t>target</w:t>
            </w:r>
            <w:r>
              <w:rPr>
                <w:rFonts w:eastAsia="Cambria" w:cs=""/>
                <w:kern w:val="0"/>
                <w:sz w:val="24"/>
                <w:szCs w:val="24"/>
                <w:lang w:val="en-US" w:eastAsia="en-US" w:bidi="ar-SA"/>
              </w:rPr>
              <w:t xml:space="preserve"> at first boot).</w:t>
            </w:r>
          </w:p>
        </w:tc>
      </w:tr>
      <w:tr>
        <w:trPr/>
        <w:tc>
          <w:tcPr>
            <w:tcW w:w="3960"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b/>
                <w:bCs/>
                <w:kern w:val="0"/>
                <w:sz w:val="24"/>
                <w:szCs w:val="24"/>
                <w:lang w:val="en-US" w:eastAsia="en-US" w:bidi="ar-SA"/>
              </w:rPr>
              <w:t xml:space="preserve">≥ </w:t>
            </w:r>
            <w:r>
              <w:rPr>
                <w:rFonts w:eastAsia="Cambria" w:cs=""/>
                <w:b/>
                <w:bCs/>
                <w:kern w:val="0"/>
                <w:sz w:val="24"/>
                <w:szCs w:val="24"/>
                <w:lang w:val="en-US" w:eastAsia="en-US" w:bidi="ar-SA"/>
              </w:rPr>
              <w:t>300 GB free</w:t>
            </w:r>
            <w:r>
              <w:rPr>
                <w:rFonts w:eastAsia="Cambria" w:cs=""/>
                <w:kern w:val="0"/>
                <w:sz w:val="24"/>
                <w:szCs w:val="24"/>
                <w:lang w:val="en-US" w:eastAsia="en-US" w:bidi="ar-SA"/>
              </w:rPr>
              <w:t xml:space="preserve"> on the working drive</w:t>
            </w:r>
          </w:p>
        </w:tc>
        <w:tc>
          <w:tcPr>
            <w:tcW w:w="3959"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Mounting a WIM, staging drivers, temporary copies, and a multi-gigabyte ISO add up. The Prerequisites tab flags anything under 300 GB.</w:t>
            </w:r>
            <w:bookmarkStart w:id="3" w:name="prereq"/>
            <w:bookmarkEnd w:id="3"/>
          </w:p>
        </w:tc>
      </w:tr>
    </w:tbl>
    <w:p>
      <w:pPr>
        <w:pStyle w:val="Heading2"/>
        <w:rPr/>
      </w:pPr>
      <w:r>
        <w:rPr/>
        <w:t>3. The working folder &amp; disk space</w:t>
      </w:r>
    </w:p>
    <w:p>
      <w:pPr>
        <w:pStyle w:val="FirstParagraph"/>
        <w:rPr/>
      </w:pPr>
      <w:r>
        <w:rPr/>
        <w:t xml:space="preserve">All the heavy lifting — mounting the WIM, staging drivers, and assembling the ISO — happens in a </w:t>
      </w:r>
      <w:r>
        <w:rPr>
          <w:b/>
          <w:bCs/>
        </w:rPr>
        <w:t>working folder</w:t>
      </w:r>
      <w:r>
        <w:rPr/>
        <w:t xml:space="preserve">. By default it sits next to your source image, or under </w:t>
      </w:r>
      <w:r>
        <w:rPr>
          <w:rStyle w:val="VerbatimChar"/>
        </w:rPr>
        <w:t>%TEMP%\WinIDI-Work</w:t>
      </w:r>
      <w:r>
        <w:rPr/>
        <w:t xml:space="preserve">; if left unset the engine falls back to </w:t>
      </w:r>
      <w:r>
        <w:rPr>
          <w:rStyle w:val="VerbatimChar"/>
        </w:rPr>
        <w:t>%ProgramData%\WinImageDriverIntegrator</w:t>
      </w:r>
      <w:r>
        <w:rPr/>
        <w:t xml:space="preserve">. You can redirect it on the </w:t>
      </w:r>
      <w:r>
        <w:rPr>
          <w:i/>
          <w:iCs/>
        </w:rPr>
        <w:t>Build</w:t>
      </w:r>
      <w:r>
        <w:rPr/>
        <w:t xml:space="preserve"> screen (</w:t>
      </w:r>
      <w:r>
        <w:rPr>
          <w:i/>
          <w:iCs/>
        </w:rPr>
        <w:t>Working folder → Browse</w:t>
      </w:r>
      <w:r>
        <w:rPr/>
        <w:t>).</w:t>
      </w:r>
    </w:p>
    <w:p>
      <w:pPr>
        <w:pStyle w:val="BodyText"/>
        <w:rPr/>
      </w:pPr>
      <w:r>
        <w:rPr/>
        <w:t xml:space="preserve">Put the working folder on a fast drive with </w:t>
      </w:r>
      <w:r>
        <w:rPr>
          <w:b/>
          <w:bCs/>
        </w:rPr>
        <w:t>at least 300 GB free</w:t>
      </w:r>
      <w:r>
        <w:rPr/>
        <w:t xml:space="preserve">. Build logs are written to a </w:t>
      </w:r>
      <w:r>
        <w:rPr>
          <w:rStyle w:val="VerbatimChar"/>
        </w:rPr>
        <w:t>logs</w:t>
      </w:r>
      <w:r>
        <w:rPr/>
        <w:t xml:space="preserve"> subfolder of the working folder. The </w:t>
      </w:r>
      <w:r>
        <w:rPr>
          <w:i/>
          <w:iCs/>
        </w:rPr>
        <w:t>Settings → Prerequisites</w:t>
      </w:r>
      <w:r>
        <w:rPr/>
        <w:t xml:space="preserve"> tab shows the working drive and its free space, and turns red below 300 GB.</w:t>
      </w:r>
    </w:p>
    <w:p>
      <w:pPr>
        <w:pStyle w:val="BodyText"/>
        <w:rPr/>
      </w:pPr>
      <w:r>
        <w:rPr/>
        <w:t xml:space="preserve">Downloaded driver packs are cached under </w:t>
      </w:r>
      <w:r>
        <w:rPr>
          <w:rStyle w:val="VerbatimChar"/>
        </w:rPr>
        <w:t>…\WinIDI-Work\downloads</w:t>
      </w:r>
      <w:r>
        <w:rPr/>
        <w:t xml:space="preserve"> and reused on later builds, so you don't re-download the same pack. Each model's cached revision is tracked: when the catalog lists a </w:t>
      </w:r>
      <w:r>
        <w:rPr>
          <w:b/>
          <w:bCs/>
        </w:rPr>
        <w:t>newer revision</w:t>
      </w:r>
      <w:r>
        <w:rPr/>
        <w:t xml:space="preserve"> for a model, the stale copy (and its extracted folder) is removed and the latest is fetched automatically; otherwise the cached pack is extracted and injected as-is.</w:t>
      </w:r>
    </w:p>
    <w:p>
      <w:pPr>
        <w:pStyle w:val="BodyText"/>
        <w:rPr/>
      </w:pPr>
      <w:r>
        <w:rPr/>
        <w:t xml:space="preserve">After a successful build the temporary folders (the mount, the </w:t>
      </w:r>
      <w:r>
        <w:rPr>
          <w:rStyle w:val="VerbatimChar"/>
        </w:rPr>
        <w:t>extracted</w:t>
      </w:r>
      <w:r>
        <w:rPr/>
        <w:t xml:space="preserve"> driver tree, and any ISO-staging folders) are cleaned up automatically — only the </w:t>
      </w:r>
      <w:r>
        <w:rPr>
          <w:rStyle w:val="VerbatimChar"/>
        </w:rPr>
        <w:t>downloads</w:t>
      </w:r>
      <w:r>
        <w:rPr/>
        <w:t xml:space="preserve"> </w:t>
      </w:r>
      <w:r>
        <w:rPr>
          <w:rStyle w:val="VerbatimChar"/>
        </w:rPr>
        <w:t>.zip</w:t>
      </w:r>
      <w:r>
        <w:rPr/>
        <w:t xml:space="preserve"> cache is kept, so the next build is faster but the working drive isn't left full of scratch files.</w:t>
      </w:r>
    </w:p>
    <w:p>
      <w:pPr>
        <w:pStyle w:val="Heading2"/>
        <w:rPr/>
      </w:pPr>
      <w:bookmarkStart w:id="4" w:name="flow"/>
      <w:r>
        <w:rPr/>
        <w:t>4. Step-by-step</w:t>
      </w:r>
    </w:p>
    <w:p>
      <w:pPr>
        <w:pStyle w:val="Compact"/>
        <w:numPr>
          <w:ilvl w:val="0"/>
          <w:numId w:val="10"/>
        </w:numPr>
        <w:rPr/>
      </w:pPr>
      <w:r>
        <w:rPr>
          <w:b/>
          <w:bCs/>
        </w:rPr>
        <w:t>Home</w:t>
      </w:r>
      <w:r>
        <w:rPr/>
        <w:t xml:space="preserve"> — start a new build.</w:t>
      </w:r>
    </w:p>
    <w:p>
      <w:pPr>
        <w:pStyle w:val="Compact"/>
        <w:numPr>
          <w:ilvl w:val="0"/>
          <w:numId w:val="1"/>
        </w:numPr>
        <w:rPr/>
      </w:pPr>
      <w:r>
        <w:rPr>
          <w:b/>
          <w:bCs/>
        </w:rPr>
        <w:t>Image</w:t>
      </w:r>
      <w:r>
        <w:rPr/>
        <w:t xml:space="preserve"> — choose the base Windows image (WIM/ESD/ISO source) and the edition(s) to service.</w:t>
      </w:r>
    </w:p>
    <w:p>
      <w:pPr>
        <w:pStyle w:val="Compact"/>
        <w:numPr>
          <w:ilvl w:val="0"/>
          <w:numId w:val="1"/>
        </w:numPr>
        <w:rPr/>
      </w:pPr>
      <w:r>
        <w:rPr>
          <w:b/>
          <w:bCs/>
        </w:rPr>
        <w:t>Drivers</w:t>
      </w:r>
      <w:r>
        <w:rPr/>
        <w:t xml:space="preserve"> — pick an OEM (Dell / HP / Lenovo) and load its online catalog, or add an extracted folder via Local drive (sections 5–6).</w:t>
      </w:r>
    </w:p>
    <w:p>
      <w:pPr>
        <w:pStyle w:val="Compact"/>
        <w:numPr>
          <w:ilvl w:val="0"/>
          <w:numId w:val="1"/>
        </w:numPr>
        <w:rPr/>
      </w:pPr>
      <w:r>
        <w:rPr>
          <w:b/>
          <w:bCs/>
        </w:rPr>
        <w:t>Settings</w:t>
      </w:r>
      <w:r>
        <w:rPr/>
        <w:t xml:space="preserve"> — Debloat, Provisioning, MSIX/AppX, and the Prerequisites check (section 7).</w:t>
      </w:r>
    </w:p>
    <w:p>
      <w:pPr>
        <w:pStyle w:val="Compact"/>
        <w:numPr>
          <w:ilvl w:val="0"/>
          <w:numId w:val="1"/>
        </w:numPr>
        <w:rPr/>
      </w:pPr>
      <w:r>
        <w:rPr>
          <w:b/>
          <w:bCs/>
        </w:rPr>
        <w:t>Build</w:t>
      </w:r>
      <w:r>
        <w:rPr/>
        <w:t xml:space="preserve"> — review the summary (optionally Save / Load a template), set the output ISO and working folder, then Start Build — the app jumps to the Log page to run it (section 8).</w:t>
      </w:r>
      <w:bookmarkEnd w:id="4"/>
    </w:p>
    <w:p>
      <w:pPr>
        <w:pStyle w:val="Heading2"/>
        <w:rPr/>
      </w:pPr>
      <w:bookmarkStart w:id="5" w:name="dell"/>
      <w:r>
        <w:rPr/>
        <w:t>5. OEM driver catalogs (Dell · HP · Lenovo)</w:t>
      </w:r>
    </w:p>
    <w:p>
      <w:pPr>
        <w:pStyle w:val="FirstParagraph"/>
        <w:rPr/>
      </w:pPr>
      <w:r>
        <w:rPr/>
        <w:t xml:space="preserve">Driver packs are a first-class, built-in online source for all three major business OEMs. In </w:t>
      </w:r>
      <w:r>
        <w:rPr>
          <w:i/>
          <w:iCs/>
        </w:rPr>
        <w:t>Drivers</w:t>
      </w:r>
      <w:r>
        <w:rPr/>
        <w:t xml:space="preserve">, choose </w:t>
      </w:r>
      <w:r>
        <w:rPr>
          <w:b/>
          <w:bCs/>
        </w:rPr>
        <w:t>Online (OEM catalog)</w:t>
      </w:r>
      <w:r>
        <w:rPr/>
        <w:t xml:space="preserve">, pick the </w:t>
      </w:r>
      <w:r>
        <w:rPr>
          <w:b/>
          <w:bCs/>
        </w:rPr>
        <w:t>vendor</w:t>
      </w:r>
      <w:r>
        <w:rPr/>
        <w:t xml:space="preserve"> (Dell, HP or Lenovo) and the OS, click </w:t>
      </w:r>
      <w:r>
        <w:rPr>
          <w:i/>
          <w:iCs/>
        </w:rPr>
        <w:t>Reload</w:t>
      </w:r>
      <w:r>
        <w:rPr/>
        <w:t xml:space="preserve">, then search your model (e.g. </w:t>
      </w:r>
      <w:r>
        <w:rPr>
          <w:rStyle w:val="VerbatimChar"/>
        </w:rPr>
        <w:t>PB13250</w:t>
      </w:r>
      <w:r>
        <w:rPr/>
        <w:t xml:space="preserve">) or click </w:t>
      </w:r>
      <w:r>
        <w:rPr>
          <w:i/>
          <w:iCs/>
        </w:rPr>
        <w:t>Detect</w:t>
      </w:r>
      <w:r>
        <w:rPr/>
        <w:t xml:space="preserve"> to match the current machine. Tick the pack(s) and continue. You can switch vendors and tick packs from more than one — selections are kept by value, so they survive a reload.</w:t>
      </w:r>
    </w:p>
    <w:p>
      <w:pPr>
        <w:pStyle w:val="BodyText"/>
        <w:rPr/>
      </w:pPr>
      <w:r>
        <w:rPr/>
        <w:t>Each vendor publishes a machine-readable driver-pack catalog, which is what makes this possible:</w:t>
      </w:r>
    </w:p>
    <w:p>
      <w:pPr>
        <w:pStyle w:val="Compact"/>
        <w:numPr>
          <w:ilvl w:val="0"/>
          <w:numId w:val="2"/>
        </w:numPr>
        <w:rPr/>
      </w:pPr>
      <w:r>
        <w:rPr>
          <w:b/>
          <w:bCs/>
        </w:rPr>
        <w:t>Dell</w:t>
      </w:r>
      <w:r>
        <w:rPr/>
        <w:t xml:space="preserve"> — the full </w:t>
      </w:r>
      <w:r>
        <w:rPr>
          <w:b/>
          <w:bCs/>
        </w:rPr>
        <w:t>Driver Pack Catalog</w:t>
      </w:r>
      <w:r>
        <w:rPr/>
        <w:t xml:space="preserve"> (the Dell Command | Deploy catalog: Latitude, OptiPlex, Precision and Tablets, including older models such as the Latitude 5420), merged with the newer Family Driver Packs (Dell Pro / Pro Max). Packs are </w:t>
      </w:r>
      <w:r>
        <w:rPr>
          <w:rStyle w:val="VerbatimChar"/>
        </w:rPr>
        <w:t>.zip</w:t>
      </w:r>
      <w:r>
        <w:rPr/>
        <w:t xml:space="preserve"> or </w:t>
      </w:r>
      <w:r>
        <w:rPr>
          <w:rStyle w:val="VerbatimChar"/>
        </w:rPr>
        <w:t>.cab</w:t>
      </w:r>
      <w:r>
        <w:rPr/>
        <w:t>, one per model/OS; each row is tagged with its source.</w:t>
      </w:r>
    </w:p>
    <w:p>
      <w:pPr>
        <w:pStyle w:val="Compact"/>
        <w:numPr>
          <w:ilvl w:val="0"/>
          <w:numId w:val="2"/>
        </w:numPr>
        <w:rPr/>
      </w:pPr>
      <w:r>
        <w:rPr>
          <w:b/>
          <w:bCs/>
        </w:rPr>
        <w:t>HP</w:t>
      </w:r>
      <w:r>
        <w:rPr/>
        <w:t xml:space="preserve"> — </w:t>
      </w:r>
      <w:r>
        <w:rPr>
          <w:rStyle w:val="VerbatimChar"/>
        </w:rPr>
        <w:t>HPClientDriverPackCatalog.cab</w:t>
      </w:r>
      <w:r>
        <w:rPr/>
        <w:t xml:space="preserve"> (a CAB holding an XML that maps each model + OS to a SoftPaq); packs are self-extracting </w:t>
      </w:r>
      <w:r>
        <w:rPr>
          <w:rStyle w:val="VerbatimChar"/>
        </w:rPr>
        <w:t>.exe</w:t>
      </w:r>
      <w:r>
        <w:rPr/>
        <w:t xml:space="preserve"> SoftPaqs.</w:t>
      </w:r>
    </w:p>
    <w:p>
      <w:pPr>
        <w:pStyle w:val="Compact"/>
        <w:numPr>
          <w:ilvl w:val="0"/>
          <w:numId w:val="2"/>
        </w:numPr>
        <w:rPr/>
      </w:pPr>
      <w:r>
        <w:rPr>
          <w:b/>
          <w:bCs/>
        </w:rPr>
        <w:t>Lenovo</w:t>
      </w:r>
      <w:r>
        <w:rPr/>
        <w:t xml:space="preserve"> — </w:t>
      </w:r>
      <w:r>
        <w:rPr>
          <w:rStyle w:val="VerbatimChar"/>
        </w:rPr>
        <w:t>catalogv2.xml</w:t>
      </w:r>
      <w:r>
        <w:rPr/>
        <w:t xml:space="preserve">, listing each model's SCCM/MDT driver pack; packs are self-extracting </w:t>
      </w:r>
      <w:r>
        <w:rPr>
          <w:rStyle w:val="VerbatimChar"/>
        </w:rPr>
        <w:t>.exe</w:t>
      </w:r>
      <w:r>
        <w:rPr/>
        <w:t>.</w:t>
      </w:r>
    </w:p>
    <w:p>
      <w:pPr>
        <w:pStyle w:val="FirstParagraph"/>
        <w:rPr/>
      </w:pPr>
      <w:r>
        <w:rPr/>
        <w:t xml:space="preserve">The tool downloads the pack, then extracts it for you and hands the resulting </w:t>
      </w:r>
      <w:r>
        <w:rPr>
          <w:rStyle w:val="VerbatimChar"/>
        </w:rPr>
        <w:t>.inf</w:t>
      </w:r>
      <w:r>
        <w:rPr/>
        <w:t xml:space="preserve"> tree straight to DISM. Dell </w:t>
      </w:r>
      <w:r>
        <w:rPr>
          <w:rStyle w:val="VerbatimChar"/>
        </w:rPr>
        <w:t>.zip</w:t>
      </w:r>
      <w:r>
        <w:rPr/>
        <w:t xml:space="preserve"> packs unzip directly; HP SoftPaqs are extracted with </w:t>
      </w:r>
      <w:r>
        <w:rPr>
          <w:rStyle w:val="VerbatimChar"/>
        </w:rPr>
        <w:t>/s /e /f</w:t>
      </w:r>
      <w:r>
        <w:rPr/>
        <w:t xml:space="preserve"> and Lenovo packs with </w:t>
      </w:r>
      <w:r>
        <w:rPr>
          <w:rStyle w:val="VerbatimChar"/>
        </w:rPr>
        <w:t>/VERYSILENT /EXTRACT=YES</w:t>
      </w:r>
      <w:r>
        <w:rPr/>
        <w:t xml:space="preserve"> — no manual unpacking.</w:t>
      </w:r>
    </w:p>
    <w:p>
      <w:pPr>
        <w:pStyle w:val="BodyText"/>
        <w:rPr/>
      </w:pPr>
      <w:r>
        <w:rPr/>
        <w:t xml:space="preserve">HP and Lenovo catalog support is new. If a particular vendor pack uses different silent-extract switches and produces no </w:t>
      </w:r>
      <w:r>
        <w:rPr>
          <w:rStyle w:val="VerbatimChar"/>
        </w:rPr>
        <w:t>.inf</w:t>
      </w:r>
      <w:r>
        <w:rPr/>
        <w:t xml:space="preserve"> files, extract it by hand and add the folder via </w:t>
      </w:r>
      <w:r>
        <w:rPr>
          <w:i/>
          <w:iCs/>
        </w:rPr>
        <w:t>Local drive</w:t>
      </w:r>
      <w:r>
        <w:rPr/>
        <w:t xml:space="preserve"> (section 6) — the Log shows exactly which extract command was tried.</w:t>
      </w:r>
      <w:bookmarkEnd w:id="5"/>
    </w:p>
    <w:p>
      <w:pPr>
        <w:pStyle w:val="Heading2"/>
        <w:rPr/>
      </w:pPr>
      <w:bookmarkStart w:id="6" w:name="vendors"/>
      <w:r>
        <w:rPr/>
        <w:t>6. Local drive &amp; manual packs</w:t>
      </w:r>
    </w:p>
    <w:p>
      <w:pPr>
        <w:pStyle w:val="FirstParagraph"/>
        <w:rPr/>
      </w:pPr>
      <w:r>
        <w:rPr/>
        <w:t xml:space="preserve">For anything outside the three online catalogs (Surface, an older pack, an air-gapped build, or a pack you've already extracted), switch </w:t>
      </w:r>
      <w:r>
        <w:rPr>
          <w:i/>
          <w:iCs/>
        </w:rPr>
        <w:t>Drivers</w:t>
      </w:r>
      <w:r>
        <w:rPr/>
        <w:t xml:space="preserve"> to </w:t>
      </w:r>
      <w:r>
        <w:rPr>
          <w:b/>
          <w:bCs/>
        </w:rPr>
        <w:t>Local drive (.zip / .cab / folder)</w:t>
      </w:r>
      <w:r>
        <w:rPr/>
        <w:t xml:space="preserve"> and add it yourself. The tool injects any folder that ultimately contains </w:t>
      </w:r>
      <w:r>
        <w:rPr>
          <w:rStyle w:val="VerbatimChar"/>
        </w:rPr>
        <w:t>.inf</w:t>
      </w:r>
      <w:r>
        <w:rPr/>
        <w:t xml:space="preserve"> files (it recurses), or a </w:t>
      </w:r>
      <w:r>
        <w:rPr>
          <w:rStyle w:val="VerbatimChar"/>
        </w:rPr>
        <w:t>.zip</w:t>
      </w:r>
      <w:r>
        <w:rPr/>
        <w:t xml:space="preserve"> / </w:t>
      </w:r>
      <w:r>
        <w:rPr>
          <w:rStyle w:val="VerbatimChar"/>
        </w:rPr>
        <w:t>.cab</w:t>
      </w:r>
      <w:r>
        <w:rPr/>
        <w:t>.</w:t>
      </w:r>
    </w:p>
    <w:p>
      <w:pPr>
        <w:pStyle w:val="Heading3"/>
        <w:rPr/>
      </w:pPr>
      <w:bookmarkStart w:id="7" w:name="extract-a-vendor-pack-by-hand-if-needed"/>
      <w:r>
        <w:rPr/>
        <w:t>Extract a vendor pack by hand (if needed)</w:t>
      </w:r>
    </w:p>
    <w:p>
      <w:pPr>
        <w:pStyle w:val="SourceCode"/>
        <w:rPr/>
      </w:pPr>
      <w:r>
        <w:rPr>
          <w:rStyle w:val="VerbatimChar"/>
        </w:rPr>
        <w:t># HP SoftPaq (.exe) — silent extract to a folder</w:t>
      </w:r>
      <w:r>
        <w:rPr/>
        <w:br/>
      </w:r>
      <w:r>
        <w:rPr>
          <w:rStyle w:val="VerbatimChar"/>
        </w:rPr>
        <w:t>sp#####.exe /s /e /f "C:\Drivers\HP-Model"</w:t>
      </w:r>
      <w:r>
        <w:rPr/>
        <w:br/>
        <w:br/>
      </w:r>
      <w:r>
        <w:rPr>
          <w:rStyle w:val="VerbatimChar"/>
        </w:rPr>
        <w:t># Lenovo pack (.exe) — silent extract to a folder</w:t>
      </w:r>
      <w:r>
        <w:rPr/>
        <w:br/>
      </w:r>
      <w:r>
        <w:rPr>
          <w:rStyle w:val="VerbatimChar"/>
        </w:rPr>
        <w:t>pack.exe /VERYSILENT /DIR=C:\Drivers\Lenovo-Model /EXTRACT=YES</w:t>
      </w:r>
      <w:r>
        <w:rPr/>
        <w:br/>
        <w:br/>
      </w:r>
      <w:r>
        <w:rPr>
          <w:rStyle w:val="VerbatimChar"/>
        </w:rPr>
        <w:t># .zip / .cab — just extract (7-Zip works fine)</w:t>
      </w:r>
      <w:r>
        <w:rPr/>
        <w:br/>
      </w:r>
      <w:r>
        <w:rPr>
          <w:rStyle w:val="VerbatimChar"/>
        </w:rPr>
        <w:t># right-click → 7-Zip → Extract to "Vendor-Model\"</w:t>
      </w:r>
      <w:bookmarkEnd w:id="7"/>
    </w:p>
    <w:p>
      <w:pPr>
        <w:pStyle w:val="Heading3"/>
        <w:rPr/>
      </w:pPr>
      <w:bookmarkStart w:id="8" w:name="use-the-local-drive-option"/>
      <w:r>
        <w:rPr/>
        <w:t>Use the Local drive option</w:t>
      </w:r>
    </w:p>
    <w:p>
      <w:pPr>
        <w:pStyle w:val="Compact"/>
        <w:numPr>
          <w:ilvl w:val="0"/>
          <w:numId w:val="11"/>
        </w:numPr>
        <w:rPr/>
      </w:pPr>
      <w:r>
        <w:rPr/>
        <w:t xml:space="preserve">In </w:t>
      </w:r>
      <w:r>
        <w:rPr>
          <w:i/>
          <w:iCs/>
        </w:rPr>
        <w:t>Drivers</w:t>
      </w:r>
      <w:r>
        <w:rPr/>
        <w:t xml:space="preserve">, switch to </w:t>
      </w:r>
      <w:r>
        <w:rPr>
          <w:b/>
          <w:bCs/>
        </w:rPr>
        <w:t>Local drive (.zip / .cab / folder)</w:t>
      </w:r>
      <w:r>
        <w:rPr/>
        <w:t>.</w:t>
      </w:r>
    </w:p>
    <w:p>
      <w:pPr>
        <w:pStyle w:val="Compact"/>
        <w:numPr>
          <w:ilvl w:val="0"/>
          <w:numId w:val="12"/>
        </w:numPr>
        <w:rPr/>
      </w:pPr>
      <w:r>
        <w:rPr/>
        <w:t xml:space="preserve">Click </w:t>
      </w:r>
      <w:r>
        <w:rPr>
          <w:b/>
          <w:bCs/>
        </w:rPr>
        <w:t>Add folder…</w:t>
      </w:r>
      <w:r>
        <w:rPr/>
        <w:t xml:space="preserve"> and select the extracted folder (or </w:t>
      </w:r>
      <w:r>
        <w:rPr>
          <w:b/>
          <w:bCs/>
        </w:rPr>
        <w:t>Add files…</w:t>
      </w:r>
      <w:r>
        <w:rPr/>
        <w:t xml:space="preserve"> for individual </w:t>
      </w:r>
      <w:r>
        <w:rPr>
          <w:rStyle w:val="VerbatimChar"/>
        </w:rPr>
        <w:t>.inf</w:t>
      </w:r>
      <w:r>
        <w:rPr/>
        <w:t xml:space="preserve"> / </w:t>
      </w:r>
      <w:r>
        <w:rPr>
          <w:rStyle w:val="VerbatimChar"/>
        </w:rPr>
        <w:t>.cab</w:t>
      </w:r>
      <w:r>
        <w:rPr/>
        <w:t xml:space="preserve"> / </w:t>
      </w:r>
      <w:r>
        <w:rPr>
          <w:rStyle w:val="VerbatimChar"/>
        </w:rPr>
        <w:t>.zip</w:t>
      </w:r>
      <w:r>
        <w:rPr/>
        <w:t xml:space="preserve"> items).</w:t>
      </w:r>
    </w:p>
    <w:p>
      <w:pPr>
        <w:pStyle w:val="Compact"/>
        <w:numPr>
          <w:ilvl w:val="0"/>
          <w:numId w:val="13"/>
        </w:numPr>
        <w:rPr/>
      </w:pPr>
      <w:r>
        <w:rPr/>
        <w:t xml:space="preserve">Repeat for additional packs if needed; use </w:t>
      </w:r>
      <w:r>
        <w:rPr>
          <w:b/>
          <w:bCs/>
        </w:rPr>
        <w:t>Remove</w:t>
      </w:r>
      <w:r>
        <w:rPr/>
        <w:t xml:space="preserve"> to drop one.</w:t>
      </w:r>
    </w:p>
    <w:p>
      <w:pPr>
        <w:pStyle w:val="Compact"/>
        <w:numPr>
          <w:ilvl w:val="0"/>
          <w:numId w:val="14"/>
        </w:numPr>
        <w:rPr/>
      </w:pPr>
      <w:r>
        <w:rPr/>
        <w:t xml:space="preserve">Continue with </w:t>
      </w:r>
      <w:r>
        <w:rPr>
          <w:i/>
          <w:iCs/>
        </w:rPr>
        <w:t>Next: Settings</w:t>
      </w:r>
      <w:r>
        <w:rPr/>
        <w:t>.</w:t>
      </w:r>
      <w:bookmarkEnd w:id="6"/>
      <w:bookmarkEnd w:id="8"/>
    </w:p>
    <w:p>
      <w:pPr>
        <w:pStyle w:val="Heading2"/>
        <w:rPr/>
      </w:pPr>
      <w:bookmarkStart w:id="9" w:name="settings"/>
      <w:r>
        <w:rPr/>
        <w:t>7. Settings — every option</w:t>
      </w:r>
    </w:p>
    <w:p>
      <w:pPr>
        <w:pStyle w:val="Heading3"/>
        <w:rPr/>
      </w:pPr>
      <w:bookmarkStart w:id="10" w:name="debloat"/>
      <w:r>
        <w:rPr/>
        <w:t>Debloat</w:t>
      </w:r>
    </w:p>
    <w:p>
      <w:pPr>
        <w:pStyle w:val="FirstParagraph"/>
        <w:rPr/>
      </w:pPr>
      <w:r>
        <w:rPr/>
        <w:t xml:space="preserve">Tick the provisioned apps you want removed (Xbox components, consumer / sponsored apps, Teams consumer chat, Skype, and so on). Core apps — Store, Calculator, Notepad, Photos, Paint, Snipping Tool — are </w:t>
      </w:r>
      <w:r>
        <w:rPr>
          <w:b/>
          <w:bCs/>
        </w:rPr>
        <w:t>always protected</w:t>
      </w:r>
      <w:r>
        <w:rPr/>
        <w:t>. Leave everything unticked to leave the image as-is.</w:t>
      </w:r>
    </w:p>
    <w:p>
      <w:pPr>
        <w:pStyle w:val="BodyText"/>
        <w:rPr/>
      </w:pPr>
      <w:r>
        <w:rPr>
          <w:b/>
          <w:bCs/>
        </w:rPr>
        <w:t>Block consumer app auto-install.</w:t>
      </w:r>
      <w:r>
        <w:rPr/>
        <w:t xml:space="preserve"> A separate checkbox that stops Windows from silently downloading promoted Store apps (WhatsApp, Spotify, Instagram, TikTok…) on first internet connection — the </w:t>
      </w:r>
      <w:r>
        <w:rPr>
          <w:i/>
          <w:iCs/>
        </w:rPr>
        <w:t>Content Delivery Manager</w:t>
      </w:r>
      <w:r>
        <w:rPr/>
        <w:t xml:space="preserve">. This is a </w:t>
      </w:r>
      <w:r>
        <w:rPr>
          <w:b/>
          <w:bCs/>
        </w:rPr>
        <w:t>different mechanism</w:t>
      </w:r>
      <w:r>
        <w:rPr/>
        <w:t xml:space="preserve"> from the app list above: removing provisioned appx strips what's baked into the image, but the Content Delivery Manager re-downloads its own cloud list onto each new user profile the moment it goes online — which is why a debloated image otherwise gets those apps back. The option seeds the reliable per-user keys into the image's </w:t>
      </w:r>
      <w:r>
        <w:rPr>
          <w:b/>
          <w:bCs/>
        </w:rPr>
        <w:t>default-user profile</w:t>
      </w:r>
      <w:r>
        <w:rPr/>
        <w:t xml:space="preserve"> (</w:t>
      </w:r>
      <w:r>
        <w:rPr>
          <w:rStyle w:val="VerbatimChar"/>
        </w:rPr>
        <w:t>ContentDeliveryManager\SilentInstalledAppsEnabled=0</w:t>
      </w:r>
      <w:r>
        <w:rPr/>
        <w:t xml:space="preserve"> and related), so every new user inherits them, and adds the machine policy </w:t>
      </w:r>
      <w:r>
        <w:rPr>
          <w:rStyle w:val="VerbatimChar"/>
        </w:rPr>
        <w:t>CloudContent\DisableWindowsConsumerFeatures=1</w:t>
      </w:r>
      <w:r>
        <w:rPr/>
        <w:t xml:space="preserve"> (honored on Enterprise/Education; harmless on Pro). It works whether or not you remove any apps above.</w:t>
      </w:r>
      <w:bookmarkEnd w:id="10"/>
    </w:p>
    <w:p>
      <w:pPr>
        <w:pStyle w:val="Heading3"/>
        <w:rPr/>
      </w:pPr>
      <w:bookmarkStart w:id="11" w:name="net-framework-3.5-features-tab"/>
      <w:r>
        <w:rPr/>
        <w:t>.NET Framework 3.5 (Features tab)</w:t>
      </w:r>
    </w:p>
    <w:p>
      <w:pPr>
        <w:pStyle w:val="FirstParagraph"/>
        <w:rPr/>
      </w:pPr>
      <w:r>
        <w:rPr/>
        <w:t xml:space="preserve">Tick </w:t>
      </w:r>
      <w:r>
        <w:rPr>
          <w:b/>
          <w:bCs/>
        </w:rPr>
        <w:t>Enable .NET Framework 3.5</w:t>
      </w:r>
      <w:r>
        <w:rPr/>
        <w:t xml:space="preserve"> to turn on the legacy .NET runtime (which also carries 2.0 / 3.0) in the image — for older line-of-business apps that still depend on it. .NET 4.x is already built into Windows 11, so only 3.5 is offered here.</w:t>
      </w:r>
    </w:p>
    <w:p>
      <w:pPr>
        <w:pStyle w:val="BodyText"/>
        <w:rPr/>
      </w:pPr>
      <w:r>
        <w:rPr/>
        <w:t xml:space="preserve">WinIB enables it </w:t>
      </w:r>
      <w:r>
        <w:rPr>
          <w:b/>
          <w:bCs/>
        </w:rPr>
        <w:t>offline</w:t>
      </w:r>
      <w:r>
        <w:rPr/>
        <w:t xml:space="preserve"> during the build with </w:t>
      </w:r>
      <w:r>
        <w:rPr>
          <w:rStyle w:val="VerbatimChar"/>
        </w:rPr>
        <w:t>DISM /Enable-Feature /FeatureName:NetFx3 /All /Source:&lt;ISO&gt;\sources\sxs /LimitAccess</w:t>
      </w:r>
      <w:r>
        <w:rPr/>
        <w:t xml:space="preserve">, taking the payload from the ISO's own </w:t>
      </w:r>
      <w:r>
        <w:rPr>
          <w:rStyle w:val="VerbatimChar"/>
        </w:rPr>
        <w:t>sources\sxs</w:t>
      </w:r>
      <w:r>
        <w:rPr/>
        <w:t xml:space="preserve"> folder. That way the deployed PC never has to fetch 3.5 from Windows Update on first use — the usual failure on offline or locked-down machines.</w:t>
      </w:r>
    </w:p>
    <w:p>
      <w:pPr>
        <w:pStyle w:val="BodyText"/>
        <w:rPr/>
      </w:pPr>
      <w:r>
        <w:rPr/>
        <w:t xml:space="preserve">Because the payload lives on the installation media, this is an </w:t>
      </w:r>
      <w:r>
        <w:rPr>
          <w:b/>
          <w:bCs/>
        </w:rPr>
        <w:t>ISO-source</w:t>
      </w:r>
      <w:r>
        <w:rPr/>
        <w:t xml:space="preserve"> feature. If you build from an offline WIM/ESD that has no </w:t>
      </w:r>
      <w:r>
        <w:rPr>
          <w:rStyle w:val="VerbatimChar"/>
        </w:rPr>
        <w:t>sources\sxs</w:t>
      </w:r>
      <w:r>
        <w:rPr/>
        <w:t>, the step is skipped with a note in the build log rather than failing the build.</w:t>
      </w:r>
      <w:bookmarkEnd w:id="11"/>
    </w:p>
    <w:p>
      <w:pPr>
        <w:pStyle w:val="Heading3"/>
        <w:rPr/>
      </w:pPr>
      <w:bookmarkStart w:id="12" w:name="visual-c-runtimes-features-tab"/>
      <w:r>
        <w:rPr/>
        <w:t>Visual C++ Runtimes (Features tab)</w:t>
      </w:r>
    </w:p>
    <w:p>
      <w:pPr>
        <w:pStyle w:val="FirstParagraph"/>
        <w:rPr/>
      </w:pPr>
      <w:r>
        <w:rPr/>
        <w:t xml:space="preserve">Tick </w:t>
      </w:r>
      <w:r>
        <w:rPr>
          <w:b/>
          <w:bCs/>
        </w:rPr>
        <w:t>Include Visual C++ Runtimes</w:t>
      </w:r>
      <w:r>
        <w:rPr/>
        <w:t xml:space="preserve"> to bundle Microsoft's Visual C++ v14 redistributables (shared across Visual Studio 2015–2026) — the runtimes a great many desktop apps hard-depend on. WinIB downloads the latest supported version on the build PC, stages it into the image, and installs it </w:t>
      </w:r>
      <w:r>
        <w:rPr>
          <w:b/>
          <w:bCs/>
        </w:rPr>
        <w:t>silently at first boot</w:t>
      </w:r>
      <w:r>
        <w:rPr/>
        <w:t>. x64 and x86 are both included by default (many 32-bit apps need the x86 runtime even on 64-bit Windows); ARM64 is an optional tick for Copilot+ / ARM devices.</w:t>
      </w:r>
    </w:p>
    <w:p>
      <w:pPr>
        <w:pStyle w:val="BodyText"/>
        <w:rPr/>
      </w:pPr>
      <w:r>
        <w:rPr/>
        <w:t xml:space="preserve">Unlike .NET 3.5 and drivers, the VC++ redistributables are </w:t>
      </w:r>
      <w:r>
        <w:rPr>
          <w:b/>
          <w:bCs/>
        </w:rPr>
        <w:t>installers, not DISM packages</w:t>
      </w:r>
      <w:r>
        <w:rPr/>
        <w:t xml:space="preserve">, so they can't be injected into the offline image — they run once on the deployed PC via </w:t>
      </w:r>
      <w:r>
        <w:rPr>
          <w:rStyle w:val="VerbatimChar"/>
        </w:rPr>
        <w:t>SetupComplete.cmd</w:t>
      </w:r>
      <w:r>
        <w:rPr/>
        <w:t xml:space="preserve">, as SYSTEM, after drivers and networking are up. Install results are logged to </w:t>
      </w:r>
      <w:r>
        <w:rPr>
          <w:rStyle w:val="VerbatimChar"/>
        </w:rPr>
        <w:t>C:\WIB\Logs\vcredist.log</w:t>
      </w:r>
      <w:r>
        <w:rPr/>
        <w:t xml:space="preserve">, with exit codes </w:t>
      </w:r>
      <w:r>
        <w:rPr>
          <w:rStyle w:val="VerbatimChar"/>
        </w:rPr>
        <w:t>0</w:t>
      </w:r>
      <w:r>
        <w:rPr/>
        <w:t xml:space="preserve"> (installed), </w:t>
      </w:r>
      <w:r>
        <w:rPr>
          <w:rStyle w:val="VerbatimChar"/>
        </w:rPr>
        <w:t>3010</w:t>
      </w:r>
      <w:r>
        <w:rPr/>
        <w:t xml:space="preserve"> (installed, reboot pending) and </w:t>
      </w:r>
      <w:r>
        <w:rPr>
          <w:rStyle w:val="VerbatimChar"/>
        </w:rPr>
        <w:t>1638</w:t>
      </w:r>
      <w:r>
        <w:rPr/>
        <w:t xml:space="preserve"> (a newer version already present) all treated as success.</w:t>
      </w:r>
    </w:p>
    <w:p>
      <w:pPr>
        <w:pStyle w:val="BodyText"/>
        <w:rPr/>
      </w:pPr>
      <w:bookmarkStart w:id="13" w:name="visual-c-runtimes-features-tab"/>
      <w:r>
        <w:rPr/>
        <w:t>The download needs internet on the build PC. A failed download is logged and skipped rather than failing the build — you can always fall back to staging the redists yourself via Files / Scripts.</w:t>
      </w:r>
      <w:bookmarkEnd w:id="13"/>
    </w:p>
    <w:p>
      <w:pPr>
        <w:pStyle w:val="Heading3"/>
        <w:rPr/>
      </w:pPr>
      <w:bookmarkStart w:id="14" w:name="Xd548e428d6c1541530381f62bc4b7afaf1d51b3"/>
      <w:r>
        <w:rPr/>
        <w:t>Provisioning (applies to ISO / offline-image builds)</w:t>
      </w:r>
    </w:p>
    <w:p>
      <w:pPr>
        <w:pStyle w:val="Compact"/>
        <w:numPr>
          <w:ilvl w:val="0"/>
          <w:numId w:val="15"/>
        </w:numPr>
        <w:rPr/>
      </w:pPr>
      <w:r>
        <w:rPr>
          <w:b/>
          <w:bCs/>
        </w:rPr>
        <w:t>Local admin + OOBE</w:t>
      </w:r>
      <w:r>
        <w:rPr/>
        <w:t xml:space="preserve"> — create a local admin account (default </w:t>
      </w:r>
      <w:r>
        <w:rPr>
          <w:rStyle w:val="VerbatimChar"/>
        </w:rPr>
        <w:t>DemoAdmin</w:t>
      </w:r>
      <w:r>
        <w:rPr/>
        <w:t>, editable), No password, Auto sign-in, and Bypass OOBE to skip the setup screens.</w:t>
      </w:r>
    </w:p>
    <w:p>
      <w:pPr>
        <w:pStyle w:val="Compact"/>
        <w:numPr>
          <w:ilvl w:val="0"/>
          <w:numId w:val="16"/>
        </w:numPr>
        <w:rPr/>
      </w:pPr>
      <w:r>
        <w:rPr>
          <w:b/>
          <w:bCs/>
        </w:rPr>
        <w:t>Regional / keyboard</w:t>
      </w:r>
      <w:r>
        <w:rPr/>
        <w:t xml:space="preserve"> — Locale (e.g. </w:t>
      </w:r>
      <w:r>
        <w:rPr>
          <w:rStyle w:val="VerbatimChar"/>
        </w:rPr>
        <w:t>en-SG</w:t>
      </w:r>
      <w:r>
        <w:rPr/>
        <w:t xml:space="preserve">) and Keyboard (e.g. </w:t>
      </w:r>
      <w:r>
        <w:rPr>
          <w:rStyle w:val="VerbatimChar"/>
        </w:rPr>
        <w:t>0409:00000409</w:t>
      </w:r>
      <w:r>
        <w:rPr/>
        <w:t>). The UI language stays en-US unless a language pack is added.</w:t>
      </w:r>
    </w:p>
    <w:p>
      <w:pPr>
        <w:pStyle w:val="Compact"/>
        <w:numPr>
          <w:ilvl w:val="0"/>
          <w:numId w:val="17"/>
        </w:numPr>
        <w:rPr/>
      </w:pPr>
      <w:r>
        <w:rPr>
          <w:b/>
          <w:bCs/>
        </w:rPr>
        <w:t>Default wallpaper</w:t>
      </w:r>
      <w:r>
        <w:rPr/>
        <w:t xml:space="preserve"> — a JPG that becomes the default theme.</w:t>
      </w:r>
    </w:p>
    <w:p>
      <w:pPr>
        <w:pStyle w:val="Compact"/>
        <w:numPr>
          <w:ilvl w:val="0"/>
          <w:numId w:val="18"/>
        </w:numPr>
        <w:rPr/>
      </w:pPr>
      <w:r>
        <w:rPr>
          <w:b/>
          <w:bCs/>
        </w:rPr>
        <w:t>BGInfo</w:t>
      </w:r>
      <w:r>
        <w:rPr/>
        <w:t xml:space="preserve"> — a folder copied to </w:t>
      </w:r>
      <w:r>
        <w:rPr>
          <w:rStyle w:val="VerbatimChar"/>
        </w:rPr>
        <w:t>C:\BGInfo</w:t>
      </w:r>
      <w:r>
        <w:rPr/>
        <w:t xml:space="preserve"> and run at each logon.</w:t>
      </w:r>
    </w:p>
    <w:p>
      <w:pPr>
        <w:pStyle w:val="Compact"/>
        <w:numPr>
          <w:ilvl w:val="0"/>
          <w:numId w:val="19"/>
        </w:numPr>
        <w:rPr/>
      </w:pPr>
      <w:r>
        <w:rPr>
          <w:b/>
          <w:bCs/>
        </w:rPr>
        <w:t>Wi-Fi</w:t>
      </w:r>
      <w:r>
        <w:rPr/>
        <w:t xml:space="preserve"> — a netsh-exported profile (</w:t>
      </w:r>
      <w:r>
        <w:rPr>
          <w:rStyle w:val="VerbatimChar"/>
        </w:rPr>
        <w:t>.xml</w:t>
      </w:r>
      <w:r>
        <w:rPr/>
        <w:t xml:space="preserve">, key=clear) imported for all users at first boot, plus an optional </w:t>
      </w:r>
      <w:r>
        <w:rPr>
          <w:rStyle w:val="VerbatimChar"/>
        </w:rPr>
        <w:t>.ps1</w:t>
      </w:r>
      <w:r>
        <w:rPr/>
        <w:t xml:space="preserve"> that runs once after drivers install (e.g. an AX211 profile script).</w:t>
      </w:r>
    </w:p>
    <w:p>
      <w:pPr>
        <w:pStyle w:val="Compact"/>
        <w:numPr>
          <w:ilvl w:val="0"/>
          <w:numId w:val="20"/>
        </w:numPr>
        <w:rPr/>
      </w:pPr>
      <w:r>
        <w:rPr>
          <w:b/>
          <w:bCs/>
        </w:rPr>
        <w:t>Microsoft 365 Apps</w:t>
      </w:r>
      <w:r>
        <w:rPr/>
        <w:t xml:space="preserve"> — tick to enable, then choose edition (enterprise / business), update channel (Current / Monthly Enterprise / Semi-Annual) and architecture (64/32-bit). At first boot the target downloads the Office Deployment Tool and installs M365 </w:t>
      </w:r>
      <w:r>
        <w:rPr>
          <w:b/>
          <w:bCs/>
        </w:rPr>
        <w:t>silently</w:t>
      </w:r>
      <w:r>
        <w:rPr/>
        <w:t xml:space="preserve"> from Microsoft's CDN; the install language follows the image. Requires internet on the target; it logs to </w:t>
      </w:r>
      <w:r>
        <w:rPr>
          <w:rStyle w:val="VerbatimChar"/>
        </w:rPr>
        <w:t>%TEMP%\WIB-M365.log</w:t>
      </w:r>
      <w:r>
        <w:rPr/>
        <w:t>.</w:t>
      </w:r>
    </w:p>
    <w:p>
      <w:pPr>
        <w:pStyle w:val="Compact"/>
        <w:numPr>
          <w:ilvl w:val="0"/>
          <w:numId w:val="21"/>
        </w:numPr>
        <w:rPr/>
      </w:pPr>
      <w:r>
        <w:rPr>
          <w:b/>
          <w:bCs/>
        </w:rPr>
        <w:t>Windows Update</w:t>
      </w:r>
      <w:r>
        <w:rPr/>
        <w:t xml:space="preserve"> — tick to enable, then choose how updates are sourced. </w:t>
      </w:r>
      <w:r>
        <w:rPr>
          <w:i/>
          <w:iCs/>
        </w:rPr>
        <w:t>Auto</w:t>
      </w:r>
      <w:r>
        <w:rPr/>
        <w:t xml:space="preserve"> finds the latest cumulative update for the image's Windows version on the Microsoft Update Catalog, downloads it on the build PC, and slipstreams it with DISM during the build (the download can be several hundred MB and needs internet on the build PC). Or pick </w:t>
      </w:r>
      <w:r>
        <w:rPr>
          <w:i/>
          <w:iCs/>
        </w:rPr>
        <w:t>your own folder</w:t>
      </w:r>
      <w:r>
        <w:rPr/>
        <w:t xml:space="preserve"> of </w:t>
      </w:r>
      <w:r>
        <w:rPr>
          <w:rStyle w:val="VerbatimChar"/>
        </w:rPr>
        <w:t>.msu</w:t>
      </w:r>
      <w:r>
        <w:rPr/>
        <w:t xml:space="preserve"> / </w:t>
      </w:r>
      <w:r>
        <w:rPr>
          <w:rStyle w:val="VerbatimChar"/>
        </w:rPr>
        <w:t>.cab</w:t>
      </w:r>
      <w:r>
        <w:rPr/>
        <w:t xml:space="preserve"> packages (e.g. exported from WSUS). Either way, DISM cannot query Windows Update live for an offline image, so the deployed PC still receives newer updates from Windows Update as normal.</w:t>
      </w:r>
    </w:p>
    <w:p>
      <w:pPr>
        <w:pStyle w:val="Compact"/>
        <w:numPr>
          <w:ilvl w:val="0"/>
          <w:numId w:val="22"/>
        </w:numPr>
        <w:rPr/>
      </w:pPr>
      <w:r>
        <w:rPr>
          <w:b/>
          <w:bCs/>
        </w:rPr>
        <w:t>Partition layout (ISO clean install)</w:t>
      </w:r>
      <w:r>
        <w:rPr/>
        <w:t xml:space="preserve"> — vendor-neutral UEFI/GPT layouts. </w:t>
      </w:r>
      <w:r>
        <w:rPr>
          <w:i/>
          <w:iCs/>
        </w:rPr>
        <w:t>Windows default</w:t>
      </w:r>
      <w:r>
        <w:rPr/>
        <w:t xml:space="preserve"> leaves partitioning to Setup (you pick the disk during install). The </w:t>
      </w:r>
      <w:r>
        <w:rPr>
          <w:i/>
          <w:iCs/>
        </w:rPr>
        <w:t>OEM Ready Image</w:t>
      </w:r>
      <w:r>
        <w:rPr/>
        <w:t xml:space="preserve"> (1500 MB ESP) and </w:t>
      </w:r>
      <w:r>
        <w:rPr>
          <w:i/>
          <w:iCs/>
        </w:rPr>
        <w:t>Standard UEFI</w:t>
      </w:r>
      <w:r>
        <w:rPr/>
        <w:t xml:space="preserve"> (500 MB ESP) presets create ESP + MSR + OS (fills the disk) + a </w:t>
      </w:r>
      <w:r>
        <w:rPr>
          <w:b/>
          <w:bCs/>
        </w:rPr>
        <w:t>WINRETOOLS recovery partition</w:t>
      </w:r>
      <w:r>
        <w:rPr/>
        <w:t xml:space="preserve">, then run Setup fully unattended. </w:t>
      </w:r>
      <w:r>
        <w:rPr>
          <w:b/>
          <w:bCs/>
        </w:rPr>
        <w:t>These presets WIPE Disk 0</w:t>
      </w:r>
      <w:r>
        <w:rPr/>
        <w:t xml:space="preserve">; validate in a VM before any real machine. See </w:t>
      </w:r>
      <w:r>
        <w:rPr>
          <w:i/>
          <w:iCs/>
        </w:rPr>
        <w:t>How the partition presets work</w:t>
      </w:r>
      <w:r>
        <w:rPr/>
        <w:t xml:space="preserve"> below.</w:t>
      </w:r>
      <w:bookmarkEnd w:id="14"/>
    </w:p>
    <w:p>
      <w:pPr>
        <w:pStyle w:val="Heading3"/>
        <w:rPr/>
      </w:pPr>
      <w:bookmarkStart w:id="15" w:name="how-the-partition-presets-work"/>
      <w:r>
        <w:rPr/>
        <w:t>How the partition presets work</w:t>
      </w:r>
    </w:p>
    <w:p>
      <w:pPr>
        <w:pStyle w:val="FirstParagraph"/>
        <w:rPr/>
      </w:pPr>
      <w:r>
        <w:rPr/>
        <w:t xml:space="preserve">The presets are </w:t>
      </w:r>
      <w:r>
        <w:rPr>
          <w:b/>
          <w:bCs/>
        </w:rPr>
        <w:t>vendor-neutral</w:t>
      </w:r>
      <w:r>
        <w:rPr/>
        <w:t xml:space="preserve"> — "OEM Ready Image" just refers to the factory </w:t>
      </w:r>
      <w:r>
        <w:rPr>
          <w:i/>
          <w:iCs/>
        </w:rPr>
        <w:t>sizing</w:t>
      </w:r>
      <w:r>
        <w:rPr/>
        <w:t xml:space="preserve"> convention (a large 1500 MB ESP), not to any specific manufacturer. Both presets produce the same kind of UEFI/GPT layout on any UEFI machine (Dell, HP, Lenovo, whitebox, or VM); only the partition sizes differ.</w:t>
      </w:r>
    </w:p>
    <w:p>
      <w:pPr>
        <w:pStyle w:val="BodyText"/>
        <w:rPr/>
      </w:pPr>
      <w:r>
        <w:rPr/>
        <w:t xml:space="preserve">When you pick a preset, the tool writes a </w:t>
      </w:r>
      <w:r>
        <w:rPr>
          <w:rStyle w:val="VerbatimChar"/>
        </w:rPr>
        <w:t>windowsPE</w:t>
      </w:r>
      <w:r>
        <w:rPr/>
        <w:t xml:space="preserve">-pass </w:t>
      </w:r>
      <w:r>
        <w:rPr>
          <w:rStyle w:val="VerbatimChar"/>
        </w:rPr>
        <w:t>&lt;DiskConfiguration&gt;</w:t>
      </w:r>
      <w:r>
        <w:rPr/>
        <w:t xml:space="preserve"> into the </w:t>
      </w:r>
      <w:r>
        <w:rPr>
          <w:rStyle w:val="VerbatimChar"/>
        </w:rPr>
        <w:t>autounattend.xml</w:t>
      </w:r>
      <w:r>
        <w:rPr/>
        <w:t xml:space="preserve"> at the ISO root. During a clean install, Windows Setup reads that answer file and partitions </w:t>
      </w:r>
      <w:r>
        <w:rPr>
          <w:b/>
          <w:bCs/>
        </w:rPr>
        <w:t>Disk 0</w:t>
      </w:r>
      <w:r>
        <w:rPr/>
        <w:t xml:space="preserve"> for you — no interactive "Where do you want to install Windows?" screen. The disk is created with four partitions:</w:t>
      </w:r>
    </w:p>
    <w:tbl>
      <w:tblPr>
        <w:tblStyle w:val="Table"/>
        <w:tblW w:w="7920" w:type="dxa"/>
        <w:jc w:val="start"/>
        <w:tblInd w:w="108" w:type="dxa"/>
        <w:tblLayout w:type="fixed"/>
        <w:tblCellMar>
          <w:top w:w="0" w:type="dxa"/>
          <w:start w:w="108" w:type="dxa"/>
          <w:bottom w:w="0" w:type="dxa"/>
          <w:end w:w="108" w:type="dxa"/>
        </w:tblCellMar>
        <w:tblLook w:val="0020" w:noHBand="0" w:noVBand="0" w:firstColumn="0" w:lastRow="0" w:lastColumn="0" w:firstRow="1"/>
      </w:tblPr>
      <w:tblGrid>
        <w:gridCol w:w="1584"/>
        <w:gridCol w:w="1584"/>
        <w:gridCol w:w="1584"/>
        <w:gridCol w:w="1584"/>
        <w:gridCol w:w="1584"/>
      </w:tblGrid>
      <w:tr>
        <w:trPr>
          <w:tblHeader w:val="true"/>
        </w:trPr>
        <w:tc>
          <w:tcPr>
            <w:tcW w:w="1584" w:type="dxa"/>
            <w:tcBorders>
              <w:bottom w:val="single" w:sz="6" w:space="0" w:color="000000"/>
            </w:tcBorders>
            <w:vAlign w:val="bottom"/>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w:t>
            </w:r>
          </w:p>
        </w:tc>
        <w:tc>
          <w:tcPr>
            <w:tcW w:w="1584" w:type="dxa"/>
            <w:tcBorders>
              <w:bottom w:val="single" w:sz="6" w:space="0" w:color="000000"/>
            </w:tcBorders>
            <w:vAlign w:val="bottom"/>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Partition</w:t>
            </w:r>
          </w:p>
        </w:tc>
        <w:tc>
          <w:tcPr>
            <w:tcW w:w="1584" w:type="dxa"/>
            <w:tcBorders>
              <w:bottom w:val="single" w:sz="6" w:space="0" w:color="000000"/>
            </w:tcBorders>
            <w:vAlign w:val="bottom"/>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OEM Ready Image</w:t>
            </w:r>
          </w:p>
        </w:tc>
        <w:tc>
          <w:tcPr>
            <w:tcW w:w="1584" w:type="dxa"/>
            <w:tcBorders>
              <w:bottom w:val="single" w:sz="6" w:space="0" w:color="000000"/>
            </w:tcBorders>
            <w:vAlign w:val="bottom"/>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Standard UEFI</w:t>
            </w:r>
          </w:p>
        </w:tc>
        <w:tc>
          <w:tcPr>
            <w:tcW w:w="1584" w:type="dxa"/>
            <w:tcBorders>
              <w:bottom w:val="single" w:sz="6" w:space="0" w:color="000000"/>
            </w:tcBorders>
            <w:vAlign w:val="bottom"/>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Format</w:t>
            </w:r>
          </w:p>
        </w:tc>
      </w:tr>
      <w:tr>
        <w:trPr/>
        <w:tc>
          <w:tcPr>
            <w:tcW w:w="1584"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1</w:t>
            </w:r>
          </w:p>
        </w:tc>
        <w:tc>
          <w:tcPr>
            <w:tcW w:w="1584"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Recovery (WINRETOOLS)</w:t>
            </w:r>
          </w:p>
        </w:tc>
        <w:tc>
          <w:tcPr>
            <w:tcW w:w="1584"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1000 MB</w:t>
            </w:r>
          </w:p>
        </w:tc>
        <w:tc>
          <w:tcPr>
            <w:tcW w:w="1584"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1000 MB</w:t>
            </w:r>
          </w:p>
        </w:tc>
        <w:tc>
          <w:tcPr>
            <w:tcW w:w="1584"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NTFS</w:t>
            </w:r>
          </w:p>
        </w:tc>
      </w:tr>
      <w:tr>
        <w:trPr/>
        <w:tc>
          <w:tcPr>
            <w:tcW w:w="1584"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2</w:t>
            </w:r>
          </w:p>
        </w:tc>
        <w:tc>
          <w:tcPr>
            <w:tcW w:w="1584"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EFI System (ESP)</w:t>
            </w:r>
          </w:p>
        </w:tc>
        <w:tc>
          <w:tcPr>
            <w:tcW w:w="1584"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1500 MB</w:t>
            </w:r>
          </w:p>
        </w:tc>
        <w:tc>
          <w:tcPr>
            <w:tcW w:w="1584"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500 MB</w:t>
            </w:r>
          </w:p>
        </w:tc>
        <w:tc>
          <w:tcPr>
            <w:tcW w:w="1584"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FAT32</w:t>
            </w:r>
          </w:p>
        </w:tc>
      </w:tr>
      <w:tr>
        <w:trPr/>
        <w:tc>
          <w:tcPr>
            <w:tcW w:w="1584"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3</w:t>
            </w:r>
          </w:p>
        </w:tc>
        <w:tc>
          <w:tcPr>
            <w:tcW w:w="1584"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Microsoft Reserved (MSR)</w:t>
            </w:r>
          </w:p>
        </w:tc>
        <w:tc>
          <w:tcPr>
            <w:tcW w:w="1584"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128 MB</w:t>
            </w:r>
          </w:p>
        </w:tc>
        <w:tc>
          <w:tcPr>
            <w:tcW w:w="1584"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16 MB</w:t>
            </w:r>
          </w:p>
        </w:tc>
        <w:tc>
          <w:tcPr>
            <w:tcW w:w="1584"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w:t>
            </w:r>
          </w:p>
        </w:tc>
      </w:tr>
      <w:tr>
        <w:trPr/>
        <w:tc>
          <w:tcPr>
            <w:tcW w:w="1584"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4</w:t>
            </w:r>
          </w:p>
        </w:tc>
        <w:tc>
          <w:tcPr>
            <w:tcW w:w="1584"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Windows (OS, C:)</w:t>
            </w:r>
          </w:p>
        </w:tc>
        <w:tc>
          <w:tcPr>
            <w:tcW w:w="1584"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fills the disk</w:t>
            </w:r>
          </w:p>
        </w:tc>
        <w:tc>
          <w:tcPr>
            <w:tcW w:w="1584"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fills the disk</w:t>
            </w:r>
          </w:p>
        </w:tc>
        <w:tc>
          <w:tcPr>
            <w:tcW w:w="1584" w:type="dxa"/>
            <w:tcBorders/>
          </w:tcPr>
          <w:p>
            <w:pPr>
              <w:pStyle w:val="Compact"/>
              <w:widowControl/>
              <w:spacing w:before="36" w:after="36"/>
              <w:jc w:val="start"/>
              <w:rPr>
                <w:rFonts w:ascii="Cambria" w:hAnsi="Cambria" w:eastAsia="Cambria" w:cs=""/>
                <w:kern w:val="0"/>
                <w:sz w:val="24"/>
                <w:szCs w:val="24"/>
                <w:lang w:val="en-US" w:eastAsia="en-US" w:bidi="ar-SA"/>
              </w:rPr>
            </w:pPr>
            <w:r>
              <w:rPr>
                <w:rFonts w:eastAsia="Cambria" w:cs=""/>
                <w:kern w:val="0"/>
                <w:sz w:val="24"/>
                <w:szCs w:val="24"/>
                <w:lang w:val="en-US" w:eastAsia="en-US" w:bidi="ar-SA"/>
              </w:rPr>
              <w:t>NTFS</w:t>
            </w:r>
          </w:p>
        </w:tc>
      </w:tr>
    </w:tbl>
    <w:p>
      <w:pPr>
        <w:pStyle w:val="BodyText"/>
        <w:rPr/>
      </w:pPr>
      <w:r>
        <w:rPr/>
        <w:t>Key mechanics:</w:t>
      </w:r>
    </w:p>
    <w:p>
      <w:pPr>
        <w:pStyle w:val="Compact"/>
        <w:numPr>
          <w:ilvl w:val="0"/>
          <w:numId w:val="23"/>
        </w:numPr>
        <w:rPr/>
      </w:pPr>
      <w:r>
        <w:rPr>
          <w:b/>
          <w:bCs/>
        </w:rPr>
        <w:t>It wipes Disk 0.</w:t>
      </w:r>
      <w:r>
        <w:rPr/>
        <w:t xml:space="preserve"> </w:t>
      </w:r>
      <w:r>
        <w:rPr>
          <w:rStyle w:val="VerbatimChar"/>
        </w:rPr>
        <w:t>WillWipeDisk</w:t>
      </w:r>
      <w:r>
        <w:rPr/>
        <w:t xml:space="preserve"> is set, so everything on disk 0 is erased before the new layout is created. That is why these presets must be validated in a VM first.</w:t>
      </w:r>
    </w:p>
    <w:p>
      <w:pPr>
        <w:pStyle w:val="Compact"/>
        <w:numPr>
          <w:ilvl w:val="0"/>
          <w:numId w:val="24"/>
        </w:numPr>
        <w:rPr/>
      </w:pPr>
      <w:r>
        <w:rPr>
          <w:b/>
          <w:bCs/>
        </w:rPr>
        <w:t>Fully unattended apply.</w:t>
      </w:r>
      <w:r>
        <w:rPr/>
        <w:t xml:space="preserve"> Setup installs the image to partition 4 (</w:t>
      </w:r>
      <w:r>
        <w:rPr>
          <w:rStyle w:val="VerbatimChar"/>
        </w:rPr>
        <w:t>InstallTo</w:t>
      </w:r>
      <w:r>
        <w:rPr/>
        <w:t xml:space="preserve">) and accepts the EULA automatically, so the disk and image steps need no clicks. (The tool exports a single edition into </w:t>
      </w:r>
      <w:r>
        <w:rPr>
          <w:rStyle w:val="VerbatimChar"/>
        </w:rPr>
        <w:t>install.wim</w:t>
      </w:r>
      <w:r>
        <w:rPr/>
        <w:t>, so there is nothing to choose.)</w:t>
      </w:r>
    </w:p>
    <w:p>
      <w:pPr>
        <w:pStyle w:val="Compact"/>
        <w:numPr>
          <w:ilvl w:val="0"/>
          <w:numId w:val="25"/>
        </w:numPr>
        <w:rPr/>
      </w:pPr>
      <w:r>
        <w:rPr>
          <w:b/>
          <w:bCs/>
        </w:rPr>
        <w:t>Recovery partition first, by design.</w:t>
      </w:r>
      <w:r>
        <w:rPr/>
        <w:t xml:space="preserve"> The WINRETOOLS partition is created at the front of the disk and the OS partition uses </w:t>
      </w:r>
      <w:r>
        <w:rPr>
          <w:rStyle w:val="VerbatimChar"/>
        </w:rPr>
        <w:t>Extend</w:t>
      </w:r>
      <w:r>
        <w:rPr/>
        <w:t xml:space="preserve"> to consume the rest. A static answer file can't compute "disk size minus recovery", so an </w:t>
      </w:r>
      <w:r>
        <w:rPr>
          <w:rStyle w:val="VerbatimChar"/>
        </w:rPr>
        <w:t>Extend</w:t>
      </w:r>
      <w:r>
        <w:rPr/>
        <w:t xml:space="preserve">'d OS can only sit last — placing recovery first is the Microsoft-documented way to get both an OS that fills the disk </w:t>
      </w:r>
      <w:r>
        <w:rPr>
          <w:i/>
          <w:iCs/>
        </w:rPr>
        <w:t>and</w:t>
      </w:r>
      <w:r>
        <w:rPr/>
        <w:t xml:space="preserve"> a dedicated recovery partition. It's functionally equivalent to a vendor's end-placed recovery (WinRE still lives in its own partition); the only practical difference is cosmetic ordering and that a front recovery isn't auto-grown by later feature updates.</w:t>
      </w:r>
    </w:p>
    <w:p>
      <w:pPr>
        <w:pStyle w:val="Compact"/>
        <w:numPr>
          <w:ilvl w:val="0"/>
          <w:numId w:val="26"/>
        </w:numPr>
        <w:rPr/>
      </w:pPr>
      <w:r>
        <w:rPr>
          <w:b/>
          <w:bCs/>
        </w:rPr>
        <w:t>Proper WinRE partition.</w:t>
      </w:r>
      <w:r>
        <w:rPr/>
        <w:t xml:space="preserve"> Partition 1 is tagged with the Windows Recovery type GUID (</w:t>
      </w:r>
      <w:r>
        <w:rPr>
          <w:rStyle w:val="VerbatimChar"/>
        </w:rPr>
        <w:t>DE94BBA4-06D1-4D40-A16A-BFD50179D6AC</w:t>
      </w:r>
      <w:r>
        <w:rPr/>
        <w:t xml:space="preserve">) so Windows places </w:t>
      </w:r>
      <w:r>
        <w:rPr>
          <w:rStyle w:val="VerbatimChar"/>
        </w:rPr>
        <w:t>winre.wim</w:t>
      </w:r>
      <w:r>
        <w:rPr/>
        <w:t xml:space="preserve"> there and </w:t>
      </w:r>
      <w:r>
        <w:rPr>
          <w:rStyle w:val="VerbatimChar"/>
        </w:rPr>
        <w:t>reagentc /info</w:t>
      </w:r>
      <w:r>
        <w:rPr/>
        <w:t xml:space="preserve"> reports recovery as enabled.</w:t>
      </w:r>
    </w:p>
    <w:p>
      <w:pPr>
        <w:pStyle w:val="Compact"/>
        <w:numPr>
          <w:ilvl w:val="0"/>
          <w:numId w:val="27"/>
        </w:numPr>
        <w:rPr/>
      </w:pPr>
      <w:r>
        <w:rPr>
          <w:b/>
          <w:bCs/>
        </w:rPr>
        <w:t>Why a 1500 MB ESP?</w:t>
      </w:r>
      <w:r>
        <w:rPr/>
        <w:t xml:space="preserve"> OEM factory images use a large ESP for headroom — firmware-capsule updates, multiple boot loaders, BitLocker. The stock ~100–300 MB ESP can get tight over time. Pick </w:t>
      </w:r>
      <w:r>
        <w:rPr>
          <w:i/>
          <w:iCs/>
        </w:rPr>
        <w:t>OEM Ready Image</w:t>
      </w:r>
      <w:r>
        <w:rPr/>
        <w:t xml:space="preserve"> to match that; pick </w:t>
      </w:r>
      <w:r>
        <w:rPr>
          <w:i/>
          <w:iCs/>
        </w:rPr>
        <w:t>Standard UEFI</w:t>
      </w:r>
      <w:r>
        <w:rPr/>
        <w:t xml:space="preserve"> for a leaner, general-purpose layout.</w:t>
      </w:r>
    </w:p>
    <w:p>
      <w:pPr>
        <w:pStyle w:val="Compact"/>
        <w:numPr>
          <w:ilvl w:val="0"/>
          <w:numId w:val="28"/>
        </w:numPr>
        <w:rPr/>
      </w:pPr>
      <w:r>
        <w:rPr>
          <w:b/>
          <w:bCs/>
        </w:rPr>
        <w:t>Default = hands-off.</w:t>
      </w:r>
      <w:r>
        <w:rPr/>
        <w:t xml:space="preserve"> Leaving the layout on </w:t>
      </w:r>
      <w:r>
        <w:rPr>
          <w:i/>
          <w:iCs/>
        </w:rPr>
        <w:t>Windows default</w:t>
      </w:r>
      <w:r>
        <w:rPr/>
        <w:t xml:space="preserve"> writes no </w:t>
      </w:r>
      <w:r>
        <w:rPr>
          <w:rStyle w:val="VerbatimChar"/>
        </w:rPr>
        <w:t>DiskConfiguration</w:t>
      </w:r>
      <w:r>
        <w:rPr/>
        <w:t xml:space="preserve"> at all — Setup behaves exactly as before (you pick/keep partitions during the install), and modern Setup already creates an end-placed recovery partition on its own.</w:t>
      </w:r>
      <w:bookmarkEnd w:id="15"/>
    </w:p>
    <w:p>
      <w:pPr>
        <w:pStyle w:val="Heading3"/>
        <w:rPr/>
      </w:pPr>
      <w:bookmarkStart w:id="16" w:name="boot-image-drivers-drivers-page"/>
      <w:r>
        <w:rPr/>
        <w:t>Boot image drivers (Drivers page)</w:t>
      </w:r>
    </w:p>
    <w:p>
      <w:pPr>
        <w:pStyle w:val="FirstParagraph"/>
        <w:rPr/>
      </w:pPr>
      <w:r>
        <w:rPr/>
        <w:t xml:space="preserve">On the Drivers page, </w:t>
      </w:r>
      <w:r>
        <w:rPr>
          <w:b/>
          <w:bCs/>
        </w:rPr>
        <w:t>"Also inject storage drivers into the boot image"</w:t>
      </w:r>
      <w:r>
        <w:rPr/>
        <w:t xml:space="preserve"> adds the selected storage-controller drivers (Intel RST / VMD) into </w:t>
      </w:r>
      <w:r>
        <w:rPr>
          <w:rStyle w:val="VerbatimChar"/>
        </w:rPr>
        <w:t>boot.wim</w:t>
      </w:r>
      <w:r>
        <w:rPr/>
        <w:t xml:space="preserve"> — both WinPE (index 1) and Setup (index 2) — so Windows Setup can see the disk on machines with </w:t>
      </w:r>
      <w:r>
        <w:rPr>
          <w:b/>
          <w:bCs/>
        </w:rPr>
        <w:t>RAID / Intel VMD</w:t>
      </w:r>
      <w:r>
        <w:rPr/>
        <w:t xml:space="preserve"> enabled in BIOS, with no manual </w:t>
      </w:r>
      <w:r>
        <w:rPr>
          <w:i/>
          <w:iCs/>
        </w:rPr>
        <w:t>Load Driver</w:t>
      </w:r>
      <w:r>
        <w:rPr/>
        <w:t xml:space="preserve">. ISO builds only; it makes the build a little slower and </w:t>
      </w:r>
      <w:r>
        <w:rPr>
          <w:rStyle w:val="VerbatimChar"/>
        </w:rPr>
        <w:t>boot.wim</w:t>
      </w:r>
      <w:r>
        <w:rPr/>
        <w:t xml:space="preserve"> larger. Leave it off for AHCI/NVMe machines or VMs.</w:t>
      </w:r>
    </w:p>
    <w:p>
      <w:pPr>
        <w:pStyle w:val="BodyText"/>
        <w:rPr/>
      </w:pPr>
      <w:r>
        <w:rPr/>
        <w:t xml:space="preserve">This option needs the </w:t>
      </w:r>
      <w:r>
        <w:rPr>
          <w:b/>
          <w:bCs/>
        </w:rPr>
        <w:t>Windows PE add-on for the Windows ADK</w:t>
      </w:r>
      <w:r>
        <w:rPr/>
        <w:t xml:space="preserve"> (a separate download from the Deployment Tools / oscdimg). Install it at the same ADK version on the build PC; the </w:t>
      </w:r>
      <w:r>
        <w:rPr>
          <w:i/>
          <w:iCs/>
        </w:rPr>
        <w:t>Settings → Prerequisites</w:t>
      </w:r>
      <w:r>
        <w:rPr/>
        <w:t xml:space="preserve"> tab shows whether it's present, and the build warns up-front if it's missing rather than failing mid-way with a cryptic DISM error.</w:t>
      </w:r>
      <w:bookmarkEnd w:id="16"/>
    </w:p>
    <w:p>
      <w:pPr>
        <w:pStyle w:val="Heading3"/>
        <w:rPr/>
      </w:pPr>
      <w:bookmarkStart w:id="17" w:name="msix-appx"/>
      <w:r>
        <w:rPr/>
        <w:t>MSIX / AppX</w:t>
      </w:r>
    </w:p>
    <w:p>
      <w:pPr>
        <w:pStyle w:val="FirstParagraph"/>
        <w:rPr/>
      </w:pPr>
      <w:r>
        <w:rPr/>
        <w:t xml:space="preserve">Add </w:t>
      </w:r>
      <w:r>
        <w:rPr>
          <w:rStyle w:val="VerbatimChar"/>
        </w:rPr>
        <w:t>.msix</w:t>
      </w:r>
      <w:r>
        <w:rPr/>
        <w:t xml:space="preserve"> / </w:t>
      </w:r>
      <w:r>
        <w:rPr>
          <w:rStyle w:val="VerbatimChar"/>
        </w:rPr>
        <w:t>.appx</w:t>
      </w:r>
      <w:r>
        <w:rPr/>
        <w:t xml:space="preserve"> packages to provision into the image (DISM </w:t>
      </w:r>
      <w:r>
        <w:rPr>
          <w:rStyle w:val="VerbatimChar"/>
        </w:rPr>
        <w:t>/Add-ProvisionedAppxPackage</w:t>
      </w:r>
      <w:r>
        <w:rPr/>
        <w:t>).</w:t>
      </w:r>
      <w:bookmarkEnd w:id="17"/>
    </w:p>
    <w:p>
      <w:pPr>
        <w:pStyle w:val="Heading3"/>
        <w:rPr/>
      </w:pPr>
      <w:bookmarkStart w:id="18" w:name="files-scripts"/>
      <w:r>
        <w:rPr/>
        <w:t>Files / Scripts</w:t>
      </w:r>
    </w:p>
    <w:p>
      <w:pPr>
        <w:pStyle w:val="FirstParagraph"/>
        <w:rPr/>
      </w:pPr>
      <w:r>
        <w:rPr/>
        <w:t>Ship your own payloads and run scripts at first boot. Two lists, each capped at 10:</w:t>
      </w:r>
    </w:p>
    <w:p>
      <w:pPr>
        <w:pStyle w:val="Compact"/>
        <w:numPr>
          <w:ilvl w:val="0"/>
          <w:numId w:val="29"/>
        </w:numPr>
        <w:rPr/>
      </w:pPr>
      <w:r>
        <w:rPr>
          <w:b/>
          <w:bCs/>
        </w:rPr>
        <w:t>First-boot scripts (.ps1)</w:t>
      </w:r>
      <w:r>
        <w:rPr/>
        <w:t xml:space="preserve"> — run top-to-bottom in the order listed. They're staged to </w:t>
      </w:r>
      <w:r>
        <w:rPr>
          <w:rStyle w:val="VerbatimChar"/>
        </w:rPr>
        <w:t>C:\WIB\Scripts</w:t>
      </w:r>
      <w:r>
        <w:rPr/>
        <w:t xml:space="preserve"> (numbered </w:t>
      </w:r>
      <w:r>
        <w:rPr>
          <w:rStyle w:val="VerbatimChar"/>
        </w:rPr>
        <w:t>01-</w:t>
      </w:r>
      <w:r>
        <w:rPr/>
        <w:t xml:space="preserve">, </w:t>
      </w:r>
      <w:r>
        <w:rPr>
          <w:rStyle w:val="VerbatimChar"/>
        </w:rPr>
        <w:t>02-</w:t>
      </w:r>
      <w:r>
        <w:rPr/>
        <w:t xml:space="preserve">…) and launched from </w:t>
      </w:r>
      <w:r>
        <w:rPr>
          <w:rStyle w:val="VerbatimChar"/>
        </w:rPr>
        <w:t>SetupComplete.cmd</w:t>
      </w:r>
      <w:r>
        <w:rPr/>
        <w:t xml:space="preserve"> at first boot. Each call blocks until the script exits, so they run as a </w:t>
      </w:r>
      <w:r>
        <w:rPr>
          <w:b/>
          <w:bCs/>
        </w:rPr>
        <w:t>daisy chain</w:t>
      </w:r>
      <w:r>
        <w:rPr/>
        <w:t xml:space="preserve"> — use the order numbers to sequence dependencies.</w:t>
      </w:r>
    </w:p>
    <w:p>
      <w:pPr>
        <w:pStyle w:val="Compact"/>
        <w:numPr>
          <w:ilvl w:val="0"/>
          <w:numId w:val="30"/>
        </w:numPr>
        <w:rPr/>
      </w:pPr>
      <w:r>
        <w:rPr>
          <w:b/>
          <w:bCs/>
        </w:rPr>
        <w:t>First-boot files &amp; folders</w:t>
      </w:r>
      <w:r>
        <w:rPr/>
        <w:t xml:space="preserve"> — documents, installers, any payload. Copied to </w:t>
      </w:r>
      <w:r>
        <w:rPr>
          <w:rStyle w:val="VerbatimChar"/>
        </w:rPr>
        <w:t>C:\WIB\Files</w:t>
      </w:r>
      <w:r>
        <w:rPr/>
        <w:t xml:space="preserve"> on the deployed PC (folders keep their name) and exposed to your scripts via the </w:t>
      </w:r>
      <w:r>
        <w:rPr>
          <w:rStyle w:val="VerbatimChar"/>
        </w:rPr>
        <w:t>%WIB_FILES%</w:t>
      </w:r>
      <w:r>
        <w:rPr/>
        <w:t xml:space="preserve"> environment variable, e.g. </w:t>
      </w:r>
      <w:r>
        <w:rPr>
          <w:rStyle w:val="VerbatimChar"/>
        </w:rPr>
        <w:t>Start-Process "$env:WIB_FILES\app\setup.exe"</w:t>
      </w:r>
      <w:r>
        <w:rPr/>
        <w:t>.</w:t>
      </w:r>
    </w:p>
    <w:p>
      <w:pPr>
        <w:pStyle w:val="FirstParagraph"/>
        <w:rPr/>
      </w:pPr>
      <w:r>
        <w:rPr/>
        <w:t xml:space="preserve">Scripts run as </w:t>
      </w:r>
      <w:r>
        <w:rPr>
          <w:b/>
          <w:bCs/>
        </w:rPr>
        <w:t>SYSTEM</w:t>
      </w:r>
      <w:r>
        <w:rPr/>
        <w:t xml:space="preserve"> after drivers install, with no user signed in — keep installers silent and avoid per-user/UI actions. Networking is up (drivers are already in), and the whole list is saved into build templates.</w:t>
      </w:r>
    </w:p>
    <w:p>
      <w:pPr>
        <w:pStyle w:val="BodyText"/>
        <w:rPr/>
      </w:pPr>
      <w:r>
        <w:rPr>
          <w:b/>
          <w:bCs/>
        </w:rPr>
        <w:t>Worked example — Visual C++ Redistributables.</w:t>
      </w:r>
      <w:r>
        <w:rPr/>
        <w:t xml:space="preserve"> A common first-boot job. Add </w:t>
      </w:r>
      <w:r>
        <w:rPr>
          <w:rStyle w:val="VerbatimChar"/>
        </w:rPr>
        <w:t>vc_redist.x64.exe</w:t>
      </w:r>
      <w:r>
        <w:rPr/>
        <w:t xml:space="preserve"> and </w:t>
      </w:r>
      <w:r>
        <w:rPr>
          <w:rStyle w:val="VerbatimChar"/>
        </w:rPr>
        <w:t>vc_redist.x86.exe</w:t>
      </w:r>
      <w:r>
        <w:rPr/>
        <w:t xml:space="preserve"> (Microsoft's 2015–2022 / VC++ 14.x runtimes) to the </w:t>
      </w:r>
      <w:r>
        <w:rPr>
          <w:i/>
          <w:iCs/>
        </w:rPr>
        <w:t>Files</w:t>
      </w:r>
      <w:r>
        <w:rPr/>
        <w:t xml:space="preserve"> list, and a short </w:t>
      </w:r>
      <w:r>
        <w:rPr>
          <w:rStyle w:val="VerbatimChar"/>
        </w:rPr>
        <w:t>.ps1</w:t>
      </w:r>
      <w:r>
        <w:rPr/>
        <w:t xml:space="preserve"> to the </w:t>
      </w:r>
      <w:r>
        <w:rPr>
          <w:i/>
          <w:iCs/>
        </w:rPr>
        <w:t>Scripts</w:t>
      </w:r>
      <w:r>
        <w:rPr/>
        <w:t xml:space="preserve"> list that installs each silently from </w:t>
      </w:r>
      <w:r>
        <w:rPr>
          <w:rStyle w:val="VerbatimChar"/>
        </w:rPr>
        <w:t>%WIB_FILES%</w:t>
      </w:r>
      <w:r>
        <w:rPr/>
        <w:t xml:space="preserve">, e.g. </w:t>
      </w:r>
      <w:r>
        <w:rPr>
          <w:rStyle w:val="VerbatimChar"/>
        </w:rPr>
        <w:t>Start-Process "$env:WIB_FILES\vc_redist.x64.exe" -ArgumentList '/install','/quiet','/norestart' -Wait</w:t>
      </w:r>
      <w:r>
        <w:rPr/>
        <w:t xml:space="preserve">. Add </w:t>
      </w:r>
      <w:r>
        <w:rPr>
          <w:b/>
          <w:bCs/>
        </w:rPr>
        <w:t>both x64 and x86</w:t>
      </w:r>
      <w:r>
        <w:rPr/>
        <w:t xml:space="preserve"> — many 32-bit apps need the x86 runtime even on 64-bit Windows. Treat exit codes </w:t>
      </w:r>
      <w:r>
        <w:rPr>
          <w:rStyle w:val="VerbatimChar"/>
        </w:rPr>
        <w:t>0</w:t>
      </w:r>
      <w:r>
        <w:rPr/>
        <w:t xml:space="preserve"> (installed), </w:t>
      </w:r>
      <w:r>
        <w:rPr>
          <w:rStyle w:val="VerbatimChar"/>
        </w:rPr>
        <w:t>3010</w:t>
      </w:r>
      <w:r>
        <w:rPr/>
        <w:t xml:space="preserve"> (installed, reboot pending) and </w:t>
      </w:r>
      <w:r>
        <w:rPr>
          <w:rStyle w:val="VerbatimChar"/>
        </w:rPr>
        <w:t>1638</w:t>
      </w:r>
      <w:r>
        <w:rPr/>
        <w:t xml:space="preserve"> (a newer version already present) as success.</w:t>
      </w:r>
      <w:bookmarkEnd w:id="18"/>
    </w:p>
    <w:p>
      <w:pPr>
        <w:pStyle w:val="Heading3"/>
        <w:rPr/>
      </w:pPr>
      <w:bookmarkStart w:id="19" w:name="prerequisites"/>
      <w:r>
        <w:rPr/>
        <w:t>Prerequisites</w:t>
      </w:r>
    </w:p>
    <w:p>
      <w:pPr>
        <w:pStyle w:val="FirstParagraph"/>
        <w:rPr/>
      </w:pPr>
      <w:r>
        <w:rPr/>
        <w:t xml:space="preserve">Live status indicators: the </w:t>
      </w:r>
      <w:r>
        <w:rPr>
          <w:b/>
          <w:bCs/>
        </w:rPr>
        <w:t>ADK Deployment Tools</w:t>
      </w:r>
      <w:r>
        <w:rPr/>
        <w:t xml:space="preserve"> (</w:t>
      </w:r>
      <w:r>
        <w:rPr>
          <w:rStyle w:val="VerbatimChar"/>
        </w:rPr>
        <w:t>oscdimg</w:t>
      </w:r>
      <w:r>
        <w:rPr/>
        <w:t xml:space="preserve">, required for bootable ISOs), the </w:t>
      </w:r>
      <w:r>
        <w:rPr>
          <w:b/>
          <w:bCs/>
        </w:rPr>
        <w:t>Windows PE add-on</w:t>
      </w:r>
      <w:r>
        <w:rPr/>
        <w:t xml:space="preserve"> (amber/optional — only needed when you tick </w:t>
      </w:r>
      <w:r>
        <w:rPr>
          <w:i/>
          <w:iCs/>
        </w:rPr>
        <w:t>inject storage drivers into the boot image</w:t>
      </w:r>
      <w:r>
        <w:rPr/>
        <w:t xml:space="preserve">), </w:t>
      </w:r>
      <w:r>
        <w:rPr>
          <w:b/>
          <w:bCs/>
        </w:rPr>
        <w:t>internet</w:t>
      </w:r>
      <w:r>
        <w:rPr/>
        <w:t xml:space="preserve">, and the </w:t>
      </w:r>
      <w:r>
        <w:rPr>
          <w:b/>
          <w:bCs/>
        </w:rPr>
        <w:t>working drive's free space</w:t>
      </w:r>
      <w:r>
        <w:rPr/>
        <w:t xml:space="preserve"> (300 GB). Re-check on demand, install the minimum ADK feature in one click, or open the ADK / WinPE add-on pages.</w:t>
      </w:r>
    </w:p>
    <w:p>
      <w:pPr>
        <w:pStyle w:val="Heading4"/>
        <w:rPr/>
      </w:pPr>
      <w:bookmarkStart w:id="20" w:name="installing-the-windows-pe-add-on"/>
      <w:r>
        <w:rPr/>
        <w:t>Installing the Windows PE add-on</w:t>
      </w:r>
    </w:p>
    <w:p>
      <w:pPr>
        <w:pStyle w:val="FirstParagraph"/>
        <w:rPr/>
      </w:pPr>
      <w:r>
        <w:rPr/>
        <w:t xml:space="preserve">The WinPE add-on is a </w:t>
      </w:r>
      <w:r>
        <w:rPr>
          <w:b/>
          <w:bCs/>
        </w:rPr>
        <w:t>separate installer</w:t>
      </w:r>
      <w:r>
        <w:rPr/>
        <w:t xml:space="preserve"> from the main ADK — the Deployment Tools (</w:t>
      </w:r>
      <w:r>
        <w:rPr>
          <w:rStyle w:val="VerbatimChar"/>
        </w:rPr>
        <w:t>oscdimg</w:t>
      </w:r>
      <w:r>
        <w:rPr/>
        <w:t xml:space="preserve">) do </w:t>
      </w:r>
      <w:r>
        <w:rPr>
          <w:i/>
          <w:iCs/>
        </w:rPr>
        <w:t>not</w:t>
      </w:r>
      <w:r>
        <w:rPr/>
        <w:t xml:space="preserve"> include it (Microsoft split WinPE into its own download from the Windows 10 1809 ADK onward). You only need it for boot-image servicing; for everything else you can ignore the amber indicator. To install it:</w:t>
      </w:r>
    </w:p>
    <w:p>
      <w:pPr>
        <w:pStyle w:val="Compact"/>
        <w:numPr>
          <w:ilvl w:val="0"/>
          <w:numId w:val="31"/>
        </w:numPr>
        <w:rPr/>
      </w:pPr>
      <w:r>
        <w:rPr/>
        <w:t xml:space="preserve">On the build PC, note your installed </w:t>
      </w:r>
      <w:r>
        <w:rPr>
          <w:b/>
          <w:bCs/>
        </w:rPr>
        <w:t>ADK version</w:t>
      </w:r>
      <w:r>
        <w:rPr/>
        <w:t xml:space="preserve"> (Settings → Prerequisites shows the Deployment Tools path, which includes the version, e.g. </w:t>
      </w:r>
      <w:r>
        <w:rPr>
          <w:rStyle w:val="VerbatimChar"/>
        </w:rPr>
        <w:t>…\Windows Kits\10\…</w:t>
      </w:r>
      <w:r>
        <w:rPr/>
        <w:t>).</w:t>
      </w:r>
    </w:p>
    <w:p>
      <w:pPr>
        <w:pStyle w:val="Compact"/>
        <w:numPr>
          <w:ilvl w:val="0"/>
          <w:numId w:val="32"/>
        </w:numPr>
        <w:rPr/>
      </w:pPr>
      <w:r>
        <w:rPr/>
        <w:t xml:space="preserve">Click </w:t>
      </w:r>
      <w:r>
        <w:rPr>
          <w:b/>
          <w:bCs/>
        </w:rPr>
        <w:t>Open WinPE add-on page</w:t>
      </w:r>
      <w:r>
        <w:rPr/>
        <w:t xml:space="preserve"> (or go to Microsoft's "Download and install the Windows ADK" page) and download the </w:t>
      </w:r>
      <w:r>
        <w:rPr>
          <w:b/>
          <w:bCs/>
        </w:rPr>
        <w:t>"Windows PE add-on for the Windows ADK"</w:t>
      </w:r>
      <w:r>
        <w:rPr/>
        <w:t xml:space="preserve"> — it </w:t>
      </w:r>
      <w:r>
        <w:rPr>
          <w:b/>
          <w:bCs/>
        </w:rPr>
        <w:t>must match the same ADK version</w:t>
      </w:r>
      <w:r>
        <w:rPr/>
        <w:t xml:space="preserve"> already installed. Mismatched ADK/WinPE versions are the usual cause of boot.wim servicing errors.</w:t>
      </w:r>
    </w:p>
    <w:p>
      <w:pPr>
        <w:pStyle w:val="Compact"/>
        <w:numPr>
          <w:ilvl w:val="0"/>
          <w:numId w:val="33"/>
        </w:numPr>
        <w:rPr/>
      </w:pPr>
      <w:r>
        <w:rPr/>
        <w:t xml:space="preserve">Run the add-on installer and select the </w:t>
      </w:r>
      <w:r>
        <w:rPr>
          <w:b/>
          <w:bCs/>
        </w:rPr>
        <w:t>Windows Preinstallation Environment</w:t>
      </w:r>
      <w:r>
        <w:rPr/>
        <w:t xml:space="preserve"> feature (it installs to </w:t>
      </w:r>
      <w:r>
        <w:rPr>
          <w:rStyle w:val="VerbatimChar"/>
        </w:rPr>
        <w:t>…\Assessment and Deployment Kit\Windows Preinstallation Environment\</w:t>
      </w:r>
      <w:r>
        <w:rPr/>
        <w:t>). Requires administrator approval.</w:t>
      </w:r>
    </w:p>
    <w:p>
      <w:pPr>
        <w:pStyle w:val="Compact"/>
        <w:numPr>
          <w:ilvl w:val="0"/>
          <w:numId w:val="34"/>
        </w:numPr>
        <w:rPr/>
      </w:pPr>
      <w:r>
        <w:rPr/>
        <w:t xml:space="preserve">Back in WinIB, click </w:t>
      </w:r>
      <w:r>
        <w:rPr>
          <w:b/>
          <w:bCs/>
        </w:rPr>
        <w:t>Re-check</w:t>
      </w:r>
      <w:r>
        <w:rPr/>
        <w:t xml:space="preserve"> — the Windows PE add-on indicator turns green.</w:t>
      </w:r>
    </w:p>
    <w:p>
      <w:pPr>
        <w:pStyle w:val="FirstParagraph"/>
        <w:rPr/>
      </w:pPr>
      <w:r>
        <w:rPr/>
        <w:t>The add-on detection looks for the WinPE optional-component packages (</w:t>
      </w:r>
      <w:r>
        <w:rPr>
          <w:rStyle w:val="VerbatimChar"/>
        </w:rPr>
        <w:t>…\Windows Preinstallation Environment\amd64\WinPE_OCs</w:t>
      </w:r>
      <w:r>
        <w:rPr/>
        <w:t xml:space="preserve">) or the baseline </w:t>
      </w:r>
      <w:r>
        <w:rPr>
          <w:rStyle w:val="VerbatimChar"/>
        </w:rPr>
        <w:t>winpe.wim</w:t>
      </w:r>
      <w:r>
        <w:rPr/>
        <w:t>. If the indicator stays amber after installing, confirm the add-on version matches the ADK version, then Re-check. If you start a boot-image build without it, WinIB warns up-front (and the build log explains any failure) rather than dropping a cryptic DISM error mid-build.</w:t>
      </w:r>
      <w:bookmarkEnd w:id="9"/>
      <w:bookmarkEnd w:id="19"/>
      <w:bookmarkEnd w:id="20"/>
    </w:p>
    <w:p>
      <w:pPr>
        <w:pStyle w:val="Heading2"/>
        <w:rPr/>
      </w:pPr>
      <w:bookmarkStart w:id="21" w:name="integrate"/>
      <w:r>
        <w:rPr/>
        <w:t>8. Build, Log &amp; output</w:t>
      </w:r>
    </w:p>
    <w:p>
      <w:pPr>
        <w:pStyle w:val="FirstParagraph"/>
        <w:rPr/>
      </w:pPr>
      <w:r>
        <w:rPr/>
        <w:t xml:space="preserve">On the </w:t>
      </w:r>
      <w:r>
        <w:rPr>
          <w:i/>
          <w:iCs/>
        </w:rPr>
        <w:t>Build</w:t>
      </w:r>
      <w:r>
        <w:rPr/>
        <w:t xml:space="preserve"> page, review the summary, set the output ISO path (ISO mode) or update the offline image in place, and confirm the working folder. </w:t>
      </w:r>
      <w:r>
        <w:rPr>
          <w:b/>
          <w:bCs/>
        </w:rPr>
        <w:t>Save template</w:t>
      </w:r>
      <w:r>
        <w:rPr/>
        <w:t xml:space="preserve"> writes the whole configuration (image + editions, OEM and local driver picks, debloat, all provisioning incl. Windows Update and M365, MSIX, and paths) to a </w:t>
      </w:r>
      <w:r>
        <w:rPr>
          <w:rStyle w:val="VerbatimChar"/>
        </w:rPr>
        <w:t>.wibtemplate</w:t>
      </w:r>
      <w:r>
        <w:rPr/>
        <w:t xml:space="preserve"> file; </w:t>
      </w:r>
      <w:r>
        <w:rPr>
          <w:b/>
          <w:bCs/>
        </w:rPr>
        <w:t>Load template</w:t>
      </w:r>
      <w:r>
        <w:rPr/>
        <w:t xml:space="preserve"> brings it back for a future build. Click </w:t>
      </w:r>
      <w:r>
        <w:rPr>
          <w:b/>
          <w:bCs/>
        </w:rPr>
        <w:t>Start Build</w:t>
      </w:r>
      <w:r>
        <w:rPr/>
        <w:t xml:space="preserve"> and the app moves to the </w:t>
      </w:r>
      <w:r>
        <w:rPr>
          <w:b/>
          <w:bCs/>
        </w:rPr>
        <w:t>Log</w:t>
      </w:r>
      <w:r>
        <w:rPr/>
        <w:t xml:space="preserve"> page — that's the build console.</w:t>
      </w:r>
    </w:p>
    <w:p>
      <w:pPr>
        <w:pStyle w:val="BodyText"/>
        <w:rPr/>
      </w:pPr>
      <w:r>
        <w:rPr/>
        <w:t xml:space="preserve">On the Log page you get a live log, a progress bar, status, and a </w:t>
      </w:r>
      <w:r>
        <w:rPr>
          <w:b/>
          <w:bCs/>
        </w:rPr>
        <w:t>Cancel</w:t>
      </w:r>
      <w:r>
        <w:rPr/>
        <w:t xml:space="preserve"> button while it runs (Cancel safely unmounts). The engine mounts the image, injects the chosen drivers, applies Windows updates / debloat / provisioning / MSIX, and — in ISO mode — writes a bootable ISO with </w:t>
      </w:r>
      <w:r>
        <w:rPr>
          <w:rStyle w:val="VerbatimChar"/>
        </w:rPr>
        <w:t>oscdimg</w:t>
      </w:r>
      <w:r>
        <w:rPr/>
        <w:t xml:space="preserve">. While a build runs the app </w:t>
      </w:r>
      <w:r>
        <w:rPr>
          <w:b/>
          <w:bCs/>
        </w:rPr>
        <w:t>locks down</w:t>
      </w:r>
      <w:r>
        <w:rPr/>
        <w:t xml:space="preserve">: Home, Image, Drivers and Settings are disabled and only the Build page, Log and About stay reachable. When it finishes the Log page shows </w:t>
      </w:r>
      <w:r>
        <w:rPr>
          <w:b/>
          <w:bCs/>
        </w:rPr>
        <w:t>Build Completed</w:t>
      </w:r>
      <w:r>
        <w:rPr/>
        <w:t xml:space="preserve">, a </w:t>
      </w:r>
      <w:r>
        <w:rPr>
          <w:b/>
          <w:bCs/>
        </w:rPr>
        <w:t>Start a new build</w:t>
      </w:r>
      <w:r>
        <w:rPr/>
        <w:t xml:space="preserve"> button, and — if there were any errors or warnings — </w:t>
      </w:r>
      <w:r>
        <w:rPr>
          <w:b/>
          <w:bCs/>
        </w:rPr>
        <w:t>View error</w:t>
      </w:r>
      <w:r>
        <w:rPr/>
        <w:t xml:space="preserve">, which jumps to the first one in the log. You can </w:t>
      </w:r>
      <w:r>
        <w:rPr>
          <w:i/>
          <w:iCs/>
        </w:rPr>
        <w:t>Copy</w:t>
      </w:r>
      <w:r>
        <w:rPr/>
        <w:t xml:space="preserve">, </w:t>
      </w:r>
      <w:r>
        <w:rPr>
          <w:i/>
          <w:iCs/>
        </w:rPr>
        <w:t>Export log…</w:t>
      </w:r>
      <w:r>
        <w:rPr/>
        <w:t xml:space="preserve">, or </w:t>
      </w:r>
      <w:r>
        <w:rPr>
          <w:i/>
          <w:iCs/>
        </w:rPr>
        <w:t>Clear</w:t>
      </w:r>
      <w:r>
        <w:rPr/>
        <w:t xml:space="preserve"> the log, and every build's log is also saved automatically to the </w:t>
      </w:r>
      <w:r>
        <w:rPr>
          <w:rStyle w:val="VerbatimChar"/>
        </w:rPr>
        <w:t>logs</w:t>
      </w:r>
      <w:r>
        <w:rPr/>
        <w:t xml:space="preserve"> subfolder of the working folder.</w:t>
      </w:r>
    </w:p>
    <w:p>
      <w:pPr>
        <w:pStyle w:val="BodyText"/>
        <w:rPr/>
      </w:pPr>
      <w:r>
        <w:rPr>
          <w:b/>
          <w:bCs/>
        </w:rPr>
        <w:t>Make bootable USB installation media:</w:t>
      </w:r>
      <w:r>
        <w:rPr/>
        <w:t xml:space="preserve"> once the ISO is built, write it to a USB flash drive with </w:t>
      </w:r>
      <w:hyperlink r:id="rId2">
        <w:r>
          <w:rPr>
            <w:rStyle w:val="Hyperlink"/>
          </w:rPr>
          <w:t>Rufus</w:t>
        </w:r>
      </w:hyperlink>
      <w:r>
        <w:rPr/>
        <w:t xml:space="preserve"> (rufus.ie) — select the ISO, pick the USB drive, keep the standard Windows installation settings, and click Start. Boot the target from that USB to deploy the image with your drivers already baked in.</w:t>
      </w:r>
      <w:bookmarkEnd w:id="21"/>
    </w:p>
    <w:p>
      <w:pPr>
        <w:pStyle w:val="Heading2"/>
        <w:rPr/>
      </w:pPr>
      <w:bookmarkStart w:id="22" w:name="tips"/>
      <w:r>
        <w:rPr/>
        <w:t>9. Tips &amp; troubleshooting</w:t>
      </w:r>
    </w:p>
    <w:p>
      <w:pPr>
        <w:pStyle w:val="Compact"/>
        <w:numPr>
          <w:ilvl w:val="0"/>
          <w:numId w:val="35"/>
        </w:numPr>
        <w:rPr/>
      </w:pPr>
      <w:r>
        <w:rPr/>
        <w:t>Always run elevated — DISM can't mount otherwise.</w:t>
      </w:r>
    </w:p>
    <w:p>
      <w:pPr>
        <w:pStyle w:val="Compact"/>
        <w:numPr>
          <w:ilvl w:val="0"/>
          <w:numId w:val="36"/>
        </w:numPr>
        <w:rPr/>
      </w:pPr>
      <w:r>
        <w:rPr/>
        <w:t xml:space="preserve">No ISO? Install the ADK Deployment Tools from </w:t>
      </w:r>
      <w:r>
        <w:rPr>
          <w:i/>
          <w:iCs/>
        </w:rPr>
        <w:t>Settings → Prerequisites</w:t>
      </w:r>
      <w:r>
        <w:rPr/>
        <w:t>.</w:t>
      </w:r>
    </w:p>
    <w:p>
      <w:pPr>
        <w:pStyle w:val="Compact"/>
        <w:numPr>
          <w:ilvl w:val="0"/>
          <w:numId w:val="37"/>
        </w:numPr>
        <w:rPr/>
      </w:pPr>
      <w:r>
        <w:rPr/>
        <w:t>Keep 300 GB+ free on the working drive; redirect it to a roomy disk on the Build screen.</w:t>
      </w:r>
    </w:p>
    <w:p>
      <w:pPr>
        <w:pStyle w:val="Compact"/>
        <w:numPr>
          <w:ilvl w:val="0"/>
          <w:numId w:val="38"/>
        </w:numPr>
        <w:rPr/>
      </w:pPr>
      <w:r>
        <w:rPr/>
        <w:t xml:space="preserve">M365 not installing on the target? It needs internet at first boot — check </w:t>
      </w:r>
      <w:r>
        <w:rPr>
          <w:rStyle w:val="VerbatimChar"/>
        </w:rPr>
        <w:t>%TEMP%\WIB-M365.log</w:t>
      </w:r>
      <w:r>
        <w:rPr/>
        <w:t>.</w:t>
      </w:r>
    </w:p>
    <w:p>
      <w:pPr>
        <w:pStyle w:val="Compact"/>
        <w:numPr>
          <w:ilvl w:val="0"/>
          <w:numId w:val="39"/>
        </w:numPr>
        <w:rPr/>
      </w:pPr>
      <w:r>
        <w:rPr/>
        <w:t xml:space="preserve">Online OEM packs (Dell / HP / Lenovo) are extracted for you; only </w:t>
      </w:r>
      <w:r>
        <w:rPr>
          <w:i/>
          <w:iCs/>
        </w:rPr>
        <w:t>Local drive</w:t>
      </w:r>
      <w:r>
        <w:rPr/>
        <w:t xml:space="preserve"> manual packs need extracting to </w:t>
      </w:r>
      <w:r>
        <w:rPr>
          <w:rStyle w:val="VerbatimChar"/>
        </w:rPr>
        <w:t>.inf</w:t>
      </w:r>
      <w:r>
        <w:rPr/>
        <w:t xml:space="preserve"> folders first.</w:t>
      </w:r>
    </w:p>
    <w:p>
      <w:pPr>
        <w:pStyle w:val="Compact"/>
        <w:numPr>
          <w:ilvl w:val="0"/>
          <w:numId w:val="40"/>
        </w:numPr>
        <w:rPr/>
      </w:pPr>
      <w:r>
        <w:rPr/>
        <w:t xml:space="preserve">Save a </w:t>
      </w:r>
      <w:r>
        <w:rPr>
          <w:rStyle w:val="VerbatimChar"/>
        </w:rPr>
        <w:t>.wibtemplate</w:t>
      </w:r>
      <w:r>
        <w:rPr/>
        <w:t xml:space="preserve"> on the Build page to reuse a whole configuration later (Load template).</w:t>
      </w:r>
    </w:p>
    <w:p>
      <w:pPr>
        <w:pStyle w:val="Compact"/>
        <w:numPr>
          <w:ilvl w:val="0"/>
          <w:numId w:val="41"/>
        </w:numPr>
        <w:rPr/>
      </w:pPr>
      <w:r>
        <w:rPr/>
        <w:t xml:space="preserve">To deploy from a USB stick, write the built ISO to a flash drive with </w:t>
      </w:r>
      <w:hyperlink r:id="rId3">
        <w:r>
          <w:rPr>
            <w:rStyle w:val="Hyperlink"/>
          </w:rPr>
          <w:t>Rufus</w:t>
        </w:r>
      </w:hyperlink>
      <w:r>
        <w:rPr/>
        <w:t>, then boot the target from it.</w:t>
      </w:r>
    </w:p>
    <w:p>
      <w:pPr>
        <w:pStyle w:val="FirstParagraph"/>
        <w:spacing w:before="180" w:after="180"/>
        <w:rPr/>
      </w:pPr>
      <w:r>
        <w:rPr/>
        <w:t>Window Image Builder · Community Version 1.0.0 · .NET 10 · WPF · DISM engine</w:t>
        <w:br/>
        <w:t xml:space="preserve">LABDEMO — Jay-R Barrios · </w:t>
      </w:r>
      <w:hyperlink r:id="rId4">
        <w:r>
          <w:rPr>
            <w:rStyle w:val="Hyperlink"/>
          </w:rPr>
          <w:t>jayrbarrios.com</w:t>
        </w:r>
      </w:hyperlink>
      <w:bookmarkEnd w:id="22"/>
    </w:p>
    <w:sectPr>
      <w:type w:val="nextPage"/>
      <w:pgSz w:w="12240" w:h="15840"/>
      <w:pgMar w:left="1440" w:right="1440"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iso-8859-1"/>
    <w:family w:val="roman"/>
    <w:pitch w:val="variable"/>
  </w:font>
  <w:font w:name="Cambria">
    <w:charset w:val="00" w:characterSet="iso-8859-1"/>
    <w:family w:val="roman"/>
    <w:pitch w:val="variable"/>
  </w:font>
  <w:font w:name="Calibri">
    <w:charset w:val="00" w:characterSet="iso-8859-1"/>
    <w:family w:val="roman"/>
    <w:pitch w:val="variable"/>
  </w:font>
  <w:font w:name="Consolas">
    <w:charset w:val="00" w:characterSet="iso-8859-1"/>
    <w:family w:val="roman"/>
    <w:pitch w:val="variable"/>
  </w:font>
  <w:font w:name="Liberation Sans">
    <w:altName w:val="Arial"/>
    <w:charset w:val="00" w:characterSet="iso-8859-1"/>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720" w:hanging="480"/>
      </w:pPr>
      <w:rPr/>
    </w:lvl>
    <w:lvl w:ilvl="1">
      <w:start w:val="1"/>
      <w:numFmt w:val="lowerLetter"/>
      <w:lvlText w:val="%2."/>
      <w:lvlJc w:val="start"/>
      <w:pPr>
        <w:tabs>
          <w:tab w:val="num" w:pos="0"/>
        </w:tabs>
        <w:ind w:start="1440" w:hanging="480"/>
      </w:pPr>
      <w:rPr/>
    </w:lvl>
    <w:lvl w:ilvl="2">
      <w:start w:val="1"/>
      <w:numFmt w:val="lowerRoman"/>
      <w:lvlText w:val="%3."/>
      <w:lvlJc w:val="start"/>
      <w:pPr>
        <w:tabs>
          <w:tab w:val="num" w:pos="0"/>
        </w:tabs>
        <w:ind w:start="2160" w:hanging="480"/>
      </w:pPr>
      <w:rPr/>
    </w:lvl>
    <w:lvl w:ilvl="3">
      <w:start w:val="1"/>
      <w:numFmt w:val="decimal"/>
      <w:lvlText w:val="%4."/>
      <w:lvlJc w:val="start"/>
      <w:pPr>
        <w:tabs>
          <w:tab w:val="num" w:pos="0"/>
        </w:tabs>
        <w:ind w:start="2880" w:hanging="480"/>
      </w:pPr>
      <w:rPr/>
    </w:lvl>
    <w:lvl w:ilvl="4">
      <w:start w:val="1"/>
      <w:numFmt w:val="lowerLetter"/>
      <w:lvlText w:val="%5."/>
      <w:lvlJc w:val="start"/>
      <w:pPr>
        <w:tabs>
          <w:tab w:val="num" w:pos="0"/>
        </w:tabs>
        <w:ind w:start="3600" w:hanging="480"/>
      </w:pPr>
      <w:rPr/>
    </w:lvl>
    <w:lvl w:ilvl="5">
      <w:start w:val="1"/>
      <w:numFmt w:val="lowerRoman"/>
      <w:lvlText w:val="%6."/>
      <w:lvlJc w:val="start"/>
      <w:pPr>
        <w:tabs>
          <w:tab w:val="num" w:pos="0"/>
        </w:tabs>
        <w:ind w:start="4320" w:hanging="480"/>
      </w:pPr>
      <w:rPr/>
    </w:lvl>
    <w:lvl w:ilvl="6">
      <w:start w:val="1"/>
      <w:numFmt w:val="decimal"/>
      <w:lvlText w:val="%7."/>
      <w:lvlJc w:val="start"/>
      <w:pPr>
        <w:tabs>
          <w:tab w:val="num" w:pos="0"/>
        </w:tabs>
        <w:ind w:start="5040" w:hanging="480"/>
      </w:pPr>
      <w:rPr/>
    </w:lvl>
    <w:lvl w:ilvl="7">
      <w:start w:val="1"/>
      <w:numFmt w:val="lowerLetter"/>
      <w:lvlText w:val="%8."/>
      <w:lvlJc w:val="start"/>
      <w:pPr>
        <w:tabs>
          <w:tab w:val="num" w:pos="0"/>
        </w:tabs>
        <w:ind w:start="5760" w:hanging="480"/>
      </w:pPr>
      <w:rPr/>
    </w:lvl>
    <w:lvl w:ilvl="8">
      <w:start w:val="1"/>
      <w:numFmt w:val="lowerRoman"/>
      <w:lvlText w:val="%9."/>
      <w:lvlJc w:val="start"/>
      <w:pPr>
        <w:tabs>
          <w:tab w:val="num" w:pos="0"/>
        </w:tabs>
        <w:ind w:start="6480" w:hanging="480"/>
      </w:pPr>
      <w:rPr/>
    </w:lvl>
  </w:abstractNum>
  <w:abstractNum w:abstractNumId="2">
    <w:lvl w:ilvl="0">
      <w:numFmt w:val="bullet"/>
      <w:lvlText w:val=""/>
      <w:lvlJc w:val="start"/>
      <w:pPr>
        <w:tabs>
          <w:tab w:val="num" w:pos="0"/>
        </w:tabs>
        <w:ind w:start="720" w:hanging="480"/>
      </w:pPr>
      <w:rPr>
        <w:rFonts w:ascii="Symbol" w:hAnsi="Symbol" w:cs="Symbol" w:hint="default"/>
      </w:rPr>
    </w:lvl>
    <w:lvl w:ilvl="1">
      <w:start w:val="0"/>
      <w:numFmt w:val="bullet"/>
      <w:lvlText w:val=""/>
      <w:lvlJc w:val="start"/>
      <w:pPr>
        <w:tabs>
          <w:tab w:val="num" w:pos="0"/>
        </w:tabs>
        <w:ind w:start="1440" w:hanging="480"/>
      </w:pPr>
      <w:rPr>
        <w:rFonts w:ascii="Symbol" w:hAnsi="Symbol" w:cs="Symbol" w:hint="default"/>
      </w:rPr>
    </w:lvl>
    <w:lvl w:ilvl="2">
      <w:start w:val="0"/>
      <w:numFmt w:val="bullet"/>
      <w:lvlText w:val=""/>
      <w:lvlJc w:val="start"/>
      <w:pPr>
        <w:tabs>
          <w:tab w:val="num" w:pos="0"/>
        </w:tabs>
        <w:ind w:start="2160" w:hanging="480"/>
      </w:pPr>
      <w:rPr>
        <w:rFonts w:ascii="Symbol" w:hAnsi="Symbol" w:cs="Symbol" w:hint="default"/>
      </w:rPr>
    </w:lvl>
    <w:lvl w:ilvl="3">
      <w:start w:val="0"/>
      <w:numFmt w:val="bullet"/>
      <w:lvlText w:val=""/>
      <w:lvlJc w:val="start"/>
      <w:pPr>
        <w:tabs>
          <w:tab w:val="num" w:pos="0"/>
        </w:tabs>
        <w:ind w:start="2880" w:hanging="480"/>
      </w:pPr>
      <w:rPr>
        <w:rFonts w:ascii="Symbol" w:hAnsi="Symbol" w:cs="Symbol" w:hint="default"/>
      </w:rPr>
    </w:lvl>
    <w:lvl w:ilvl="4">
      <w:start w:val="0"/>
      <w:numFmt w:val="bullet"/>
      <w:lvlText w:val=""/>
      <w:lvlJc w:val="start"/>
      <w:pPr>
        <w:tabs>
          <w:tab w:val="num" w:pos="0"/>
        </w:tabs>
        <w:ind w:start="3600" w:hanging="480"/>
      </w:pPr>
      <w:rPr>
        <w:rFonts w:ascii="Symbol" w:hAnsi="Symbol" w:cs="Symbol" w:hint="default"/>
      </w:rPr>
    </w:lvl>
    <w:lvl w:ilvl="5">
      <w:start w:val="0"/>
      <w:numFmt w:val="bullet"/>
      <w:lvlText w:val=""/>
      <w:lvlJc w:val="start"/>
      <w:pPr>
        <w:tabs>
          <w:tab w:val="num" w:pos="0"/>
        </w:tabs>
        <w:ind w:start="4320" w:hanging="480"/>
      </w:pPr>
      <w:rPr>
        <w:rFonts w:ascii="Symbol" w:hAnsi="Symbol" w:cs="Symbol" w:hint="default"/>
      </w:rPr>
    </w:lvl>
    <w:lvl w:ilvl="6">
      <w:start w:val="0"/>
      <w:numFmt w:val="bullet"/>
      <w:lvlText w:val=""/>
      <w:lvlJc w:val="start"/>
      <w:pPr>
        <w:tabs>
          <w:tab w:val="num" w:pos="0"/>
        </w:tabs>
        <w:ind w:start="5040" w:hanging="480"/>
      </w:pPr>
      <w:rPr>
        <w:rFonts w:ascii="Symbol" w:hAnsi="Symbol" w:cs="Symbol" w:hint="default"/>
      </w:rPr>
    </w:lvl>
    <w:lvl w:ilvl="7">
      <w:start w:val="0"/>
      <w:numFmt w:val="bullet"/>
      <w:lvlText w:val=""/>
      <w:lvlJc w:val="start"/>
      <w:pPr>
        <w:tabs>
          <w:tab w:val="num" w:pos="0"/>
        </w:tabs>
        <w:ind w:start="5760" w:hanging="480"/>
      </w:pPr>
      <w:rPr>
        <w:rFonts w:ascii="Symbol" w:hAnsi="Symbol" w:cs="Symbol" w:hint="default"/>
      </w:rPr>
    </w:lvl>
    <w:lvl w:ilvl="8">
      <w:start w:val="0"/>
      <w:numFmt w:val="bullet"/>
      <w:lvlText w:val=""/>
      <w:lvlJc w:val="start"/>
      <w:pPr>
        <w:tabs>
          <w:tab w:val="num" w:pos="0"/>
        </w:tabs>
        <w:ind w:start="6480" w:hanging="480"/>
      </w:pPr>
      <w:rPr>
        <w:rFonts w:ascii="Symbol" w:hAnsi="Symbol" w:cs="Symbol" w:hint="default"/>
      </w:rPr>
    </w:lvl>
  </w:abstractNum>
  <w:abstractNum w:abstractNumId="3">
    <w:lvl w:ilvl="0">
      <w:start w:val="1"/>
      <w:numFmt w:val="decimal"/>
      <w:lvlText w:val="%1."/>
      <w:lvlJc w:val="start"/>
      <w:pPr>
        <w:tabs>
          <w:tab w:val="num" w:pos="0"/>
        </w:tabs>
        <w:ind w:start="720" w:hanging="480"/>
      </w:pPr>
      <w:rPr/>
    </w:lvl>
    <w:lvl w:ilvl="1">
      <w:start w:val="1"/>
      <w:numFmt w:val="lowerLetter"/>
      <w:lvlText w:val="%2."/>
      <w:lvlJc w:val="start"/>
      <w:pPr>
        <w:tabs>
          <w:tab w:val="num" w:pos="0"/>
        </w:tabs>
        <w:ind w:start="1440" w:hanging="480"/>
      </w:pPr>
      <w:rPr/>
    </w:lvl>
    <w:lvl w:ilvl="2">
      <w:start w:val="1"/>
      <w:numFmt w:val="lowerRoman"/>
      <w:lvlText w:val="%3."/>
      <w:lvlJc w:val="start"/>
      <w:pPr>
        <w:tabs>
          <w:tab w:val="num" w:pos="0"/>
        </w:tabs>
        <w:ind w:start="2160" w:hanging="480"/>
      </w:pPr>
      <w:rPr/>
    </w:lvl>
    <w:lvl w:ilvl="3">
      <w:start w:val="1"/>
      <w:numFmt w:val="decimal"/>
      <w:lvlText w:val="%4."/>
      <w:lvlJc w:val="start"/>
      <w:pPr>
        <w:tabs>
          <w:tab w:val="num" w:pos="0"/>
        </w:tabs>
        <w:ind w:start="2880" w:hanging="480"/>
      </w:pPr>
      <w:rPr/>
    </w:lvl>
    <w:lvl w:ilvl="4">
      <w:start w:val="1"/>
      <w:numFmt w:val="lowerLetter"/>
      <w:lvlText w:val="%5."/>
      <w:lvlJc w:val="start"/>
      <w:pPr>
        <w:tabs>
          <w:tab w:val="num" w:pos="0"/>
        </w:tabs>
        <w:ind w:start="3600" w:hanging="480"/>
      </w:pPr>
      <w:rPr/>
    </w:lvl>
    <w:lvl w:ilvl="5">
      <w:start w:val="1"/>
      <w:numFmt w:val="lowerRoman"/>
      <w:lvlText w:val="%6."/>
      <w:lvlJc w:val="start"/>
      <w:pPr>
        <w:tabs>
          <w:tab w:val="num" w:pos="0"/>
        </w:tabs>
        <w:ind w:start="4320" w:hanging="480"/>
      </w:pPr>
      <w:rPr/>
    </w:lvl>
    <w:lvl w:ilvl="6">
      <w:start w:val="1"/>
      <w:numFmt w:val="decimal"/>
      <w:lvlText w:val="%7."/>
      <w:lvlJc w:val="start"/>
      <w:pPr>
        <w:tabs>
          <w:tab w:val="num" w:pos="0"/>
        </w:tabs>
        <w:ind w:start="5040" w:hanging="480"/>
      </w:pPr>
      <w:rPr/>
    </w:lvl>
    <w:lvl w:ilvl="7">
      <w:start w:val="1"/>
      <w:numFmt w:val="lowerLetter"/>
      <w:lvlText w:val="%8."/>
      <w:lvlJc w:val="start"/>
      <w:pPr>
        <w:tabs>
          <w:tab w:val="num" w:pos="0"/>
        </w:tabs>
        <w:ind w:start="5760" w:hanging="480"/>
      </w:pPr>
      <w:rPr/>
    </w:lvl>
    <w:lvl w:ilvl="8">
      <w:start w:val="1"/>
      <w:numFmt w:val="lowerRoman"/>
      <w:lvlText w:val="%9."/>
      <w:lvlJc w:val="start"/>
      <w:pPr>
        <w:tabs>
          <w:tab w:val="num" w:pos="0"/>
        </w:tabs>
        <w:ind w:start="6480" w:hanging="480"/>
      </w:pPr>
      <w:rPr/>
    </w:lvl>
  </w:abstractNum>
  <w:abstractNum w:abstractNumId="4">
    <w:lvl w:ilvl="0">
      <w:numFmt w:val="bullet"/>
      <w:lvlText w:val=""/>
      <w:lvlJc w:val="start"/>
      <w:pPr>
        <w:tabs>
          <w:tab w:val="num" w:pos="0"/>
        </w:tabs>
        <w:ind w:start="720" w:hanging="480"/>
      </w:pPr>
      <w:rPr>
        <w:rFonts w:ascii="Symbol" w:hAnsi="Symbol" w:cs="Symbol" w:hint="default"/>
      </w:rPr>
    </w:lvl>
    <w:lvl w:ilvl="1">
      <w:start w:val="0"/>
      <w:numFmt w:val="bullet"/>
      <w:lvlText w:val=""/>
      <w:lvlJc w:val="start"/>
      <w:pPr>
        <w:tabs>
          <w:tab w:val="num" w:pos="0"/>
        </w:tabs>
        <w:ind w:start="1440" w:hanging="480"/>
      </w:pPr>
      <w:rPr>
        <w:rFonts w:ascii="Symbol" w:hAnsi="Symbol" w:cs="Symbol" w:hint="default"/>
      </w:rPr>
    </w:lvl>
    <w:lvl w:ilvl="2">
      <w:start w:val="0"/>
      <w:numFmt w:val="bullet"/>
      <w:lvlText w:val=""/>
      <w:lvlJc w:val="start"/>
      <w:pPr>
        <w:tabs>
          <w:tab w:val="num" w:pos="0"/>
        </w:tabs>
        <w:ind w:start="2160" w:hanging="480"/>
      </w:pPr>
      <w:rPr>
        <w:rFonts w:ascii="Symbol" w:hAnsi="Symbol" w:cs="Symbol" w:hint="default"/>
      </w:rPr>
    </w:lvl>
    <w:lvl w:ilvl="3">
      <w:start w:val="0"/>
      <w:numFmt w:val="bullet"/>
      <w:lvlText w:val=""/>
      <w:lvlJc w:val="start"/>
      <w:pPr>
        <w:tabs>
          <w:tab w:val="num" w:pos="0"/>
        </w:tabs>
        <w:ind w:start="2880" w:hanging="480"/>
      </w:pPr>
      <w:rPr>
        <w:rFonts w:ascii="Symbol" w:hAnsi="Symbol" w:cs="Symbol" w:hint="default"/>
      </w:rPr>
    </w:lvl>
    <w:lvl w:ilvl="4">
      <w:start w:val="0"/>
      <w:numFmt w:val="bullet"/>
      <w:lvlText w:val=""/>
      <w:lvlJc w:val="start"/>
      <w:pPr>
        <w:tabs>
          <w:tab w:val="num" w:pos="0"/>
        </w:tabs>
        <w:ind w:start="3600" w:hanging="480"/>
      </w:pPr>
      <w:rPr>
        <w:rFonts w:ascii="Symbol" w:hAnsi="Symbol" w:cs="Symbol" w:hint="default"/>
      </w:rPr>
    </w:lvl>
    <w:lvl w:ilvl="5">
      <w:start w:val="0"/>
      <w:numFmt w:val="bullet"/>
      <w:lvlText w:val=""/>
      <w:lvlJc w:val="start"/>
      <w:pPr>
        <w:tabs>
          <w:tab w:val="num" w:pos="0"/>
        </w:tabs>
        <w:ind w:start="4320" w:hanging="480"/>
      </w:pPr>
      <w:rPr>
        <w:rFonts w:ascii="Symbol" w:hAnsi="Symbol" w:cs="Symbol" w:hint="default"/>
      </w:rPr>
    </w:lvl>
    <w:lvl w:ilvl="6">
      <w:start w:val="0"/>
      <w:numFmt w:val="bullet"/>
      <w:lvlText w:val=""/>
      <w:lvlJc w:val="start"/>
      <w:pPr>
        <w:tabs>
          <w:tab w:val="num" w:pos="0"/>
        </w:tabs>
        <w:ind w:start="5040" w:hanging="480"/>
      </w:pPr>
      <w:rPr>
        <w:rFonts w:ascii="Symbol" w:hAnsi="Symbol" w:cs="Symbol" w:hint="default"/>
      </w:rPr>
    </w:lvl>
    <w:lvl w:ilvl="7">
      <w:start w:val="0"/>
      <w:numFmt w:val="bullet"/>
      <w:lvlText w:val=""/>
      <w:lvlJc w:val="start"/>
      <w:pPr>
        <w:tabs>
          <w:tab w:val="num" w:pos="0"/>
        </w:tabs>
        <w:ind w:start="5760" w:hanging="480"/>
      </w:pPr>
      <w:rPr>
        <w:rFonts w:ascii="Symbol" w:hAnsi="Symbol" w:cs="Symbol" w:hint="default"/>
      </w:rPr>
    </w:lvl>
    <w:lvl w:ilvl="8">
      <w:start w:val="0"/>
      <w:numFmt w:val="bullet"/>
      <w:lvlText w:val=""/>
      <w:lvlJc w:val="start"/>
      <w:pPr>
        <w:tabs>
          <w:tab w:val="num" w:pos="0"/>
        </w:tabs>
        <w:ind w:start="6480" w:hanging="480"/>
      </w:pPr>
      <w:rPr>
        <w:rFonts w:ascii="Symbol" w:hAnsi="Symbol" w:cs="Symbol" w:hint="default"/>
      </w:rPr>
    </w:lvl>
  </w:abstractNum>
  <w:abstractNum w:abstractNumId="5">
    <w:lvl w:ilvl="0">
      <w:numFmt w:val="bullet"/>
      <w:lvlText w:val=""/>
      <w:lvlJc w:val="start"/>
      <w:pPr>
        <w:tabs>
          <w:tab w:val="num" w:pos="0"/>
        </w:tabs>
        <w:ind w:start="720" w:hanging="480"/>
      </w:pPr>
      <w:rPr>
        <w:rFonts w:ascii="Symbol" w:hAnsi="Symbol" w:cs="Symbol" w:hint="default"/>
      </w:rPr>
    </w:lvl>
    <w:lvl w:ilvl="1">
      <w:start w:val="0"/>
      <w:numFmt w:val="bullet"/>
      <w:lvlText w:val=""/>
      <w:lvlJc w:val="start"/>
      <w:pPr>
        <w:tabs>
          <w:tab w:val="num" w:pos="0"/>
        </w:tabs>
        <w:ind w:start="1440" w:hanging="480"/>
      </w:pPr>
      <w:rPr>
        <w:rFonts w:ascii="Symbol" w:hAnsi="Symbol" w:cs="Symbol" w:hint="default"/>
      </w:rPr>
    </w:lvl>
    <w:lvl w:ilvl="2">
      <w:start w:val="0"/>
      <w:numFmt w:val="bullet"/>
      <w:lvlText w:val=""/>
      <w:lvlJc w:val="start"/>
      <w:pPr>
        <w:tabs>
          <w:tab w:val="num" w:pos="0"/>
        </w:tabs>
        <w:ind w:start="2160" w:hanging="480"/>
      </w:pPr>
      <w:rPr>
        <w:rFonts w:ascii="Symbol" w:hAnsi="Symbol" w:cs="Symbol" w:hint="default"/>
      </w:rPr>
    </w:lvl>
    <w:lvl w:ilvl="3">
      <w:start w:val="0"/>
      <w:numFmt w:val="bullet"/>
      <w:lvlText w:val=""/>
      <w:lvlJc w:val="start"/>
      <w:pPr>
        <w:tabs>
          <w:tab w:val="num" w:pos="0"/>
        </w:tabs>
        <w:ind w:start="2880" w:hanging="480"/>
      </w:pPr>
      <w:rPr>
        <w:rFonts w:ascii="Symbol" w:hAnsi="Symbol" w:cs="Symbol" w:hint="default"/>
      </w:rPr>
    </w:lvl>
    <w:lvl w:ilvl="4">
      <w:start w:val="0"/>
      <w:numFmt w:val="bullet"/>
      <w:lvlText w:val=""/>
      <w:lvlJc w:val="start"/>
      <w:pPr>
        <w:tabs>
          <w:tab w:val="num" w:pos="0"/>
        </w:tabs>
        <w:ind w:start="3600" w:hanging="480"/>
      </w:pPr>
      <w:rPr>
        <w:rFonts w:ascii="Symbol" w:hAnsi="Symbol" w:cs="Symbol" w:hint="default"/>
      </w:rPr>
    </w:lvl>
    <w:lvl w:ilvl="5">
      <w:start w:val="0"/>
      <w:numFmt w:val="bullet"/>
      <w:lvlText w:val=""/>
      <w:lvlJc w:val="start"/>
      <w:pPr>
        <w:tabs>
          <w:tab w:val="num" w:pos="0"/>
        </w:tabs>
        <w:ind w:start="4320" w:hanging="480"/>
      </w:pPr>
      <w:rPr>
        <w:rFonts w:ascii="Symbol" w:hAnsi="Symbol" w:cs="Symbol" w:hint="default"/>
      </w:rPr>
    </w:lvl>
    <w:lvl w:ilvl="6">
      <w:start w:val="0"/>
      <w:numFmt w:val="bullet"/>
      <w:lvlText w:val=""/>
      <w:lvlJc w:val="start"/>
      <w:pPr>
        <w:tabs>
          <w:tab w:val="num" w:pos="0"/>
        </w:tabs>
        <w:ind w:start="5040" w:hanging="480"/>
      </w:pPr>
      <w:rPr>
        <w:rFonts w:ascii="Symbol" w:hAnsi="Symbol" w:cs="Symbol" w:hint="default"/>
      </w:rPr>
    </w:lvl>
    <w:lvl w:ilvl="7">
      <w:start w:val="0"/>
      <w:numFmt w:val="bullet"/>
      <w:lvlText w:val=""/>
      <w:lvlJc w:val="start"/>
      <w:pPr>
        <w:tabs>
          <w:tab w:val="num" w:pos="0"/>
        </w:tabs>
        <w:ind w:start="5760" w:hanging="480"/>
      </w:pPr>
      <w:rPr>
        <w:rFonts w:ascii="Symbol" w:hAnsi="Symbol" w:cs="Symbol" w:hint="default"/>
      </w:rPr>
    </w:lvl>
    <w:lvl w:ilvl="8">
      <w:start w:val="0"/>
      <w:numFmt w:val="bullet"/>
      <w:lvlText w:val=""/>
      <w:lvlJc w:val="start"/>
      <w:pPr>
        <w:tabs>
          <w:tab w:val="num" w:pos="0"/>
        </w:tabs>
        <w:ind w:start="6480" w:hanging="480"/>
      </w:pPr>
      <w:rPr>
        <w:rFonts w:ascii="Symbol" w:hAnsi="Symbol" w:cs="Symbol" w:hint="default"/>
      </w:rPr>
    </w:lvl>
  </w:abstractNum>
  <w:abstractNum w:abstractNumId="6">
    <w:lvl w:ilvl="0">
      <w:numFmt w:val="bullet"/>
      <w:lvlText w:val=""/>
      <w:lvlJc w:val="start"/>
      <w:pPr>
        <w:tabs>
          <w:tab w:val="num" w:pos="0"/>
        </w:tabs>
        <w:ind w:start="720" w:hanging="480"/>
      </w:pPr>
      <w:rPr>
        <w:rFonts w:ascii="Symbol" w:hAnsi="Symbol" w:cs="Symbol" w:hint="default"/>
      </w:rPr>
    </w:lvl>
    <w:lvl w:ilvl="1">
      <w:start w:val="0"/>
      <w:numFmt w:val="bullet"/>
      <w:lvlText w:val=""/>
      <w:lvlJc w:val="start"/>
      <w:pPr>
        <w:tabs>
          <w:tab w:val="num" w:pos="0"/>
        </w:tabs>
        <w:ind w:start="1440" w:hanging="480"/>
      </w:pPr>
      <w:rPr>
        <w:rFonts w:ascii="Symbol" w:hAnsi="Symbol" w:cs="Symbol" w:hint="default"/>
      </w:rPr>
    </w:lvl>
    <w:lvl w:ilvl="2">
      <w:start w:val="0"/>
      <w:numFmt w:val="bullet"/>
      <w:lvlText w:val=""/>
      <w:lvlJc w:val="start"/>
      <w:pPr>
        <w:tabs>
          <w:tab w:val="num" w:pos="0"/>
        </w:tabs>
        <w:ind w:start="2160" w:hanging="480"/>
      </w:pPr>
      <w:rPr>
        <w:rFonts w:ascii="Symbol" w:hAnsi="Symbol" w:cs="Symbol" w:hint="default"/>
      </w:rPr>
    </w:lvl>
    <w:lvl w:ilvl="3">
      <w:start w:val="0"/>
      <w:numFmt w:val="bullet"/>
      <w:lvlText w:val=""/>
      <w:lvlJc w:val="start"/>
      <w:pPr>
        <w:tabs>
          <w:tab w:val="num" w:pos="0"/>
        </w:tabs>
        <w:ind w:start="2880" w:hanging="480"/>
      </w:pPr>
      <w:rPr>
        <w:rFonts w:ascii="Symbol" w:hAnsi="Symbol" w:cs="Symbol" w:hint="default"/>
      </w:rPr>
    </w:lvl>
    <w:lvl w:ilvl="4">
      <w:start w:val="0"/>
      <w:numFmt w:val="bullet"/>
      <w:lvlText w:val=""/>
      <w:lvlJc w:val="start"/>
      <w:pPr>
        <w:tabs>
          <w:tab w:val="num" w:pos="0"/>
        </w:tabs>
        <w:ind w:start="3600" w:hanging="480"/>
      </w:pPr>
      <w:rPr>
        <w:rFonts w:ascii="Symbol" w:hAnsi="Symbol" w:cs="Symbol" w:hint="default"/>
      </w:rPr>
    </w:lvl>
    <w:lvl w:ilvl="5">
      <w:start w:val="0"/>
      <w:numFmt w:val="bullet"/>
      <w:lvlText w:val=""/>
      <w:lvlJc w:val="start"/>
      <w:pPr>
        <w:tabs>
          <w:tab w:val="num" w:pos="0"/>
        </w:tabs>
        <w:ind w:start="4320" w:hanging="480"/>
      </w:pPr>
      <w:rPr>
        <w:rFonts w:ascii="Symbol" w:hAnsi="Symbol" w:cs="Symbol" w:hint="default"/>
      </w:rPr>
    </w:lvl>
    <w:lvl w:ilvl="6">
      <w:start w:val="0"/>
      <w:numFmt w:val="bullet"/>
      <w:lvlText w:val=""/>
      <w:lvlJc w:val="start"/>
      <w:pPr>
        <w:tabs>
          <w:tab w:val="num" w:pos="0"/>
        </w:tabs>
        <w:ind w:start="5040" w:hanging="480"/>
      </w:pPr>
      <w:rPr>
        <w:rFonts w:ascii="Symbol" w:hAnsi="Symbol" w:cs="Symbol" w:hint="default"/>
      </w:rPr>
    </w:lvl>
    <w:lvl w:ilvl="7">
      <w:start w:val="0"/>
      <w:numFmt w:val="bullet"/>
      <w:lvlText w:val=""/>
      <w:lvlJc w:val="start"/>
      <w:pPr>
        <w:tabs>
          <w:tab w:val="num" w:pos="0"/>
        </w:tabs>
        <w:ind w:start="5760" w:hanging="480"/>
      </w:pPr>
      <w:rPr>
        <w:rFonts w:ascii="Symbol" w:hAnsi="Symbol" w:cs="Symbol" w:hint="default"/>
      </w:rPr>
    </w:lvl>
    <w:lvl w:ilvl="8">
      <w:start w:val="0"/>
      <w:numFmt w:val="bullet"/>
      <w:lvlText w:val=""/>
      <w:lvlJc w:val="start"/>
      <w:pPr>
        <w:tabs>
          <w:tab w:val="num" w:pos="0"/>
        </w:tabs>
        <w:ind w:start="6480" w:hanging="480"/>
      </w:pPr>
      <w:rPr>
        <w:rFonts w:ascii="Symbol" w:hAnsi="Symbol" w:cs="Symbol" w:hint="default"/>
      </w:rPr>
    </w:lvl>
  </w:abstractNum>
  <w:abstractNum w:abstractNumId="7">
    <w:lvl w:ilvl="0">
      <w:start w:val="1"/>
      <w:numFmt w:val="decimal"/>
      <w:lvlText w:val="%1."/>
      <w:lvlJc w:val="start"/>
      <w:pPr>
        <w:tabs>
          <w:tab w:val="num" w:pos="0"/>
        </w:tabs>
        <w:ind w:start="720" w:hanging="480"/>
      </w:pPr>
      <w:rPr/>
    </w:lvl>
    <w:lvl w:ilvl="1">
      <w:start w:val="1"/>
      <w:numFmt w:val="lowerLetter"/>
      <w:lvlText w:val="%2."/>
      <w:lvlJc w:val="start"/>
      <w:pPr>
        <w:tabs>
          <w:tab w:val="num" w:pos="0"/>
        </w:tabs>
        <w:ind w:start="1440" w:hanging="480"/>
      </w:pPr>
      <w:rPr/>
    </w:lvl>
    <w:lvl w:ilvl="2">
      <w:start w:val="1"/>
      <w:numFmt w:val="lowerRoman"/>
      <w:lvlText w:val="%3."/>
      <w:lvlJc w:val="start"/>
      <w:pPr>
        <w:tabs>
          <w:tab w:val="num" w:pos="0"/>
        </w:tabs>
        <w:ind w:start="2160" w:hanging="480"/>
      </w:pPr>
      <w:rPr/>
    </w:lvl>
    <w:lvl w:ilvl="3">
      <w:start w:val="1"/>
      <w:numFmt w:val="decimal"/>
      <w:lvlText w:val="%4."/>
      <w:lvlJc w:val="start"/>
      <w:pPr>
        <w:tabs>
          <w:tab w:val="num" w:pos="0"/>
        </w:tabs>
        <w:ind w:start="2880" w:hanging="480"/>
      </w:pPr>
      <w:rPr/>
    </w:lvl>
    <w:lvl w:ilvl="4">
      <w:start w:val="1"/>
      <w:numFmt w:val="lowerLetter"/>
      <w:lvlText w:val="%5."/>
      <w:lvlJc w:val="start"/>
      <w:pPr>
        <w:tabs>
          <w:tab w:val="num" w:pos="0"/>
        </w:tabs>
        <w:ind w:start="3600" w:hanging="480"/>
      </w:pPr>
      <w:rPr/>
    </w:lvl>
    <w:lvl w:ilvl="5">
      <w:start w:val="1"/>
      <w:numFmt w:val="lowerRoman"/>
      <w:lvlText w:val="%6."/>
      <w:lvlJc w:val="start"/>
      <w:pPr>
        <w:tabs>
          <w:tab w:val="num" w:pos="0"/>
        </w:tabs>
        <w:ind w:start="4320" w:hanging="480"/>
      </w:pPr>
      <w:rPr/>
    </w:lvl>
    <w:lvl w:ilvl="6">
      <w:start w:val="1"/>
      <w:numFmt w:val="decimal"/>
      <w:lvlText w:val="%7."/>
      <w:lvlJc w:val="start"/>
      <w:pPr>
        <w:tabs>
          <w:tab w:val="num" w:pos="0"/>
        </w:tabs>
        <w:ind w:start="5040" w:hanging="480"/>
      </w:pPr>
      <w:rPr/>
    </w:lvl>
    <w:lvl w:ilvl="7">
      <w:start w:val="1"/>
      <w:numFmt w:val="lowerLetter"/>
      <w:lvlText w:val="%8."/>
      <w:lvlJc w:val="start"/>
      <w:pPr>
        <w:tabs>
          <w:tab w:val="num" w:pos="0"/>
        </w:tabs>
        <w:ind w:start="5760" w:hanging="480"/>
      </w:pPr>
      <w:rPr/>
    </w:lvl>
    <w:lvl w:ilvl="8">
      <w:start w:val="1"/>
      <w:numFmt w:val="lowerRoman"/>
      <w:lvlText w:val="%9."/>
      <w:lvlJc w:val="start"/>
      <w:pPr>
        <w:tabs>
          <w:tab w:val="num" w:pos="0"/>
        </w:tabs>
        <w:ind w:start="6480" w:hanging="480"/>
      </w:pPr>
      <w:rPr/>
    </w:lvl>
  </w:abstractNum>
  <w:abstractNum w:abstractNumId="8">
    <w:lvl w:ilvl="0">
      <w:numFmt w:val="bullet"/>
      <w:lvlText w:val=""/>
      <w:lvlJc w:val="start"/>
      <w:pPr>
        <w:tabs>
          <w:tab w:val="num" w:pos="0"/>
        </w:tabs>
        <w:ind w:start="720" w:hanging="480"/>
      </w:pPr>
      <w:rPr>
        <w:rFonts w:ascii="Symbol" w:hAnsi="Symbol" w:cs="Symbol" w:hint="default"/>
      </w:rPr>
    </w:lvl>
    <w:lvl w:ilvl="1">
      <w:start w:val="0"/>
      <w:numFmt w:val="bullet"/>
      <w:lvlText w:val=""/>
      <w:lvlJc w:val="start"/>
      <w:pPr>
        <w:tabs>
          <w:tab w:val="num" w:pos="0"/>
        </w:tabs>
        <w:ind w:start="1440" w:hanging="480"/>
      </w:pPr>
      <w:rPr>
        <w:rFonts w:ascii="Symbol" w:hAnsi="Symbol" w:cs="Symbol" w:hint="default"/>
      </w:rPr>
    </w:lvl>
    <w:lvl w:ilvl="2">
      <w:start w:val="0"/>
      <w:numFmt w:val="bullet"/>
      <w:lvlText w:val=""/>
      <w:lvlJc w:val="start"/>
      <w:pPr>
        <w:tabs>
          <w:tab w:val="num" w:pos="0"/>
        </w:tabs>
        <w:ind w:start="2160" w:hanging="480"/>
      </w:pPr>
      <w:rPr>
        <w:rFonts w:ascii="Symbol" w:hAnsi="Symbol" w:cs="Symbol" w:hint="default"/>
      </w:rPr>
    </w:lvl>
    <w:lvl w:ilvl="3">
      <w:start w:val="0"/>
      <w:numFmt w:val="bullet"/>
      <w:lvlText w:val=""/>
      <w:lvlJc w:val="start"/>
      <w:pPr>
        <w:tabs>
          <w:tab w:val="num" w:pos="0"/>
        </w:tabs>
        <w:ind w:start="2880" w:hanging="480"/>
      </w:pPr>
      <w:rPr>
        <w:rFonts w:ascii="Symbol" w:hAnsi="Symbol" w:cs="Symbol" w:hint="default"/>
      </w:rPr>
    </w:lvl>
    <w:lvl w:ilvl="4">
      <w:start w:val="0"/>
      <w:numFmt w:val="bullet"/>
      <w:lvlText w:val=""/>
      <w:lvlJc w:val="start"/>
      <w:pPr>
        <w:tabs>
          <w:tab w:val="num" w:pos="0"/>
        </w:tabs>
        <w:ind w:start="3600" w:hanging="480"/>
      </w:pPr>
      <w:rPr>
        <w:rFonts w:ascii="Symbol" w:hAnsi="Symbol" w:cs="Symbol" w:hint="default"/>
      </w:rPr>
    </w:lvl>
    <w:lvl w:ilvl="5">
      <w:start w:val="0"/>
      <w:numFmt w:val="bullet"/>
      <w:lvlText w:val=""/>
      <w:lvlJc w:val="start"/>
      <w:pPr>
        <w:tabs>
          <w:tab w:val="num" w:pos="0"/>
        </w:tabs>
        <w:ind w:start="4320" w:hanging="480"/>
      </w:pPr>
      <w:rPr>
        <w:rFonts w:ascii="Symbol" w:hAnsi="Symbol" w:cs="Symbol" w:hint="default"/>
      </w:rPr>
    </w:lvl>
    <w:lvl w:ilvl="6">
      <w:start w:val="0"/>
      <w:numFmt w:val="bullet"/>
      <w:lvlText w:val=""/>
      <w:lvlJc w:val="start"/>
      <w:pPr>
        <w:tabs>
          <w:tab w:val="num" w:pos="0"/>
        </w:tabs>
        <w:ind w:start="5040" w:hanging="480"/>
      </w:pPr>
      <w:rPr>
        <w:rFonts w:ascii="Symbol" w:hAnsi="Symbol" w:cs="Symbol" w:hint="default"/>
      </w:rPr>
    </w:lvl>
    <w:lvl w:ilvl="7">
      <w:start w:val="0"/>
      <w:numFmt w:val="bullet"/>
      <w:lvlText w:val=""/>
      <w:lvlJc w:val="start"/>
      <w:pPr>
        <w:tabs>
          <w:tab w:val="num" w:pos="0"/>
        </w:tabs>
        <w:ind w:start="5760" w:hanging="480"/>
      </w:pPr>
      <w:rPr>
        <w:rFonts w:ascii="Symbol" w:hAnsi="Symbol" w:cs="Symbol" w:hint="default"/>
      </w:rPr>
    </w:lvl>
    <w:lvl w:ilvl="8">
      <w:start w:val="0"/>
      <w:numFmt w:val="bullet"/>
      <w:lvlText w:val=""/>
      <w:lvlJc w:val="start"/>
      <w:pPr>
        <w:tabs>
          <w:tab w:val="num" w:pos="0"/>
        </w:tabs>
        <w:ind w:start="6480" w:hanging="480"/>
      </w:pPr>
      <w:rPr>
        <w:rFonts w:ascii="Symbol" w:hAnsi="Symbol" w:cs="Symbol" w:hint="default"/>
      </w:rPr>
    </w:lvl>
  </w:abstractNum>
  <w:abstractNum w:abstractNumId="9">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
    <w:lvlOverride w:ilvl="0">
      <w:startOverride w:val="1"/>
    </w:lvlOverride>
  </w:num>
  <w:num w:numId="11">
    <w:abstractNumId w:val="1"/>
    <w:lvlOverride w:ilvl="0">
      <w:startOverride w:val="1"/>
    </w:lvlOverride>
  </w:num>
  <w:num w:numId="12">
    <w:abstractNumId w:val="1"/>
  </w:num>
  <w:num w:numId="13">
    <w:abstractNumId w:val="1"/>
  </w:num>
  <w:num w:numId="14">
    <w:abstractNumId w:val="1"/>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1"/>
    <w:lvlOverride w:ilvl="0">
      <w:startOverride w:val="1"/>
    </w:lvlOverride>
  </w:num>
  <w:num w:numId="32">
    <w:abstractNumId w:val="1"/>
  </w:num>
  <w:num w:numId="33">
    <w:abstractNumId w:val="1"/>
  </w:num>
  <w:num w:numId="34">
    <w:abstractNumId w:val="1"/>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bering>
</file>

<file path=word/settings.xml><?xml version="1.0" encoding="utf-8"?>
<w:settings xmlns:w="http://schemas.openxmlformats.org/wordprocessingml/2006/main">
  <w:zoom w:percent="100"/>
  <w:embedSystemFonts/>
  <w:defaultTabStop w:val="720"/>
  <w:autoHyphenation w:val="true"/>
  <w:compat>
    <w:compatSetting w:name="compatibilityMode" w:uri="http://schemas.microsoft.com/office/word" w:val="12"/>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Cambria" w:cs="" w:asciiTheme="minorHAnsi" w:cstheme="minorBidi" w:eastAsiaTheme="minorHAnsi" w:hAnsiTheme="minorHAnsi"/>
        <w:sz w:val="24"/>
        <w:szCs w:val="24"/>
        <w:lang w:val="en-US" w:eastAsia="en-US" w:bidi="ar-SA"/>
      </w:rPr>
    </w:rPrDefault>
    <w:pPrDefault>
      <w:pPr>
        <w:suppressAutoHyphens w:val="true"/>
      </w:pPr>
    </w:pPrDefault>
  </w:docDefaults>
  <w:latentStyles w:defLockedState="0" w:defUIPriority="0" w:defSemiHidden="0" w:defUnhideWhenUsed="0" w:defQFormat="0" w:count="276"/>
  <w:style w:type="paragraph" w:styleId="Normal" w:default="1">
    <w:name w:val="Normal"/>
    <w:qFormat/>
    <w:pPr>
      <w:widowControl/>
      <w:bidi w:val="0"/>
      <w:spacing w:before="0" w:after="200"/>
      <w:jc w:val="start"/>
    </w:pPr>
    <w:rPr>
      <w:rFonts w:ascii="Cambria" w:hAnsi="Cambria" w:eastAsia="Cambria" w:cs="" w:asciiTheme="minorHAnsi" w:cstheme="minorBidi" w:eastAsiaTheme="minorHAnsi" w:hAnsiTheme="minorHAnsi"/>
      <w:color w:val="auto"/>
      <w:kern w:val="0"/>
      <w:sz w:val="24"/>
      <w:szCs w:val="24"/>
      <w:lang w:val="en-US" w:eastAsia="en-US" w:bidi="ar-SA"/>
    </w:rPr>
  </w:style>
  <w:style w:type="paragraph" w:styleId="Heading1">
    <w:name w:val="Heading 1"/>
    <w:basedOn w:val="Normal"/>
    <w:next w:val="BodyText"/>
    <w:uiPriority w:val="9"/>
    <w:qFormat/>
    <w:pPr>
      <w:keepNext w:val="true"/>
      <w:keepLines/>
      <w:spacing w:before="480" w:after="0"/>
      <w:outlineLvl w:val="0"/>
    </w:pPr>
    <w:rPr>
      <w:rFonts w:ascii="Calibri" w:hAnsi="Calibri" w:eastAsia="" w:cs="" w:asciiTheme="majorHAnsi" w:cstheme="majorBidi" w:eastAsiaTheme="majorEastAsia" w:hAnsiTheme="majorHAnsi"/>
      <w:b/>
      <w:bCs/>
      <w:color w:themeColor="accent1" w:val="4F81BD"/>
      <w:sz w:val="32"/>
      <w:szCs w:val="32"/>
    </w:rPr>
  </w:style>
  <w:style w:type="paragraph" w:styleId="Heading2">
    <w:name w:val="Heading 2"/>
    <w:basedOn w:val="Normal"/>
    <w:next w:val="BodyText"/>
    <w:uiPriority w:val="9"/>
    <w:unhideWhenUsed/>
    <w:qFormat/>
    <w:pPr>
      <w:keepNext w:val="true"/>
      <w:keepLines/>
      <w:spacing w:before="200" w:after="0"/>
      <w:outlineLvl w:val="1"/>
    </w:pPr>
    <w:rPr>
      <w:rFonts w:ascii="Calibri" w:hAnsi="Calibri" w:eastAsia="" w:cs="" w:asciiTheme="majorHAnsi" w:cstheme="majorBidi" w:eastAsiaTheme="majorEastAsia" w:hAnsiTheme="majorHAnsi"/>
      <w:b/>
      <w:bCs/>
      <w:color w:themeColor="accent1" w:val="4F81BD"/>
      <w:sz w:val="28"/>
      <w:szCs w:val="28"/>
    </w:rPr>
  </w:style>
  <w:style w:type="paragraph" w:styleId="Heading3">
    <w:name w:val="Heading 3"/>
    <w:basedOn w:val="Normal"/>
    <w:next w:val="BodyText"/>
    <w:uiPriority w:val="9"/>
    <w:unhideWhenUsed/>
    <w:qFormat/>
    <w:pPr>
      <w:keepNext w:val="true"/>
      <w:keepLines/>
      <w:spacing w:before="200" w:after="0"/>
      <w:outlineLvl w:val="2"/>
    </w:pPr>
    <w:rPr>
      <w:rFonts w:ascii="Calibri" w:hAnsi="Calibri" w:eastAsia="" w:cs="" w:asciiTheme="majorHAnsi" w:cstheme="majorBidi" w:eastAsiaTheme="majorEastAsia" w:hAnsiTheme="majorHAnsi"/>
      <w:b/>
      <w:bCs/>
      <w:color w:themeColor="accent1" w:val="4F81BD"/>
      <w:sz w:val="24"/>
      <w:szCs w:val="24"/>
    </w:rPr>
  </w:style>
  <w:style w:type="paragraph" w:styleId="Heading4">
    <w:name w:val="Heading 4"/>
    <w:basedOn w:val="Normal"/>
    <w:next w:val="BodyText"/>
    <w:uiPriority w:val="9"/>
    <w:unhideWhenUsed/>
    <w:qFormat/>
    <w:pPr>
      <w:keepNext w:val="true"/>
      <w:keepLines/>
      <w:spacing w:before="200" w:after="0"/>
      <w:outlineLvl w:val="3"/>
    </w:pPr>
    <w:rPr>
      <w:rFonts w:ascii="Calibri" w:hAnsi="Calibri" w:eastAsia="" w:cs="" w:asciiTheme="majorHAnsi" w:cstheme="majorBidi" w:eastAsiaTheme="majorEastAsia" w:hAnsiTheme="majorHAnsi"/>
      <w:bCs/>
      <w:i/>
      <w:color w:themeColor="accent1" w:val="4F81BD"/>
      <w:sz w:val="24"/>
      <w:szCs w:val="24"/>
    </w:rPr>
  </w:style>
  <w:style w:type="paragraph" w:styleId="Heading5">
    <w:name w:val="Heading 5"/>
    <w:basedOn w:val="Normal"/>
    <w:next w:val="BodyText"/>
    <w:uiPriority w:val="9"/>
    <w:unhideWhenUsed/>
    <w:qFormat/>
    <w:pPr>
      <w:keepNext w:val="true"/>
      <w:keepLines/>
      <w:spacing w:before="200" w:after="0"/>
      <w:outlineLvl w:val="4"/>
    </w:pPr>
    <w:rPr>
      <w:rFonts w:ascii="Calibri" w:hAnsi="Calibri" w:eastAsia="" w:cs="" w:asciiTheme="majorHAnsi" w:cstheme="majorBidi" w:eastAsiaTheme="majorEastAsia" w:hAnsiTheme="majorHAnsi"/>
      <w:iCs/>
      <w:color w:themeColor="accent1" w:val="4F81BD"/>
      <w:sz w:val="24"/>
      <w:szCs w:val="24"/>
    </w:rPr>
  </w:style>
  <w:style w:type="paragraph" w:styleId="Heading6">
    <w:name w:val="Heading 6"/>
    <w:basedOn w:val="Normal"/>
    <w:next w:val="BodyText"/>
    <w:uiPriority w:val="9"/>
    <w:unhideWhenUsed/>
    <w:qFormat/>
    <w:pPr>
      <w:keepNext w:val="true"/>
      <w:keepLines/>
      <w:spacing w:before="200" w:after="0"/>
      <w:outlineLvl w:val="5"/>
    </w:pPr>
    <w:rPr>
      <w:rFonts w:ascii="Calibri" w:hAnsi="Calibri" w:eastAsia="" w:cs="" w:asciiTheme="majorHAnsi" w:cstheme="majorBidi" w:eastAsiaTheme="majorEastAsia" w:hAnsiTheme="majorHAnsi"/>
      <w:color w:themeColor="accent1" w:val="4F81BD"/>
      <w:sz w:val="24"/>
      <w:szCs w:val="24"/>
    </w:rPr>
  </w:style>
  <w:style w:type="paragraph" w:styleId="Heading7">
    <w:name w:val="Heading 7"/>
    <w:basedOn w:val="Normal"/>
    <w:next w:val="BodyText"/>
    <w:uiPriority w:val="9"/>
    <w:unhideWhenUsed/>
    <w:qFormat/>
    <w:pPr>
      <w:keepNext w:val="true"/>
      <w:keepLines/>
      <w:spacing w:before="200" w:after="0"/>
      <w:outlineLvl w:val="6"/>
    </w:pPr>
    <w:rPr>
      <w:rFonts w:ascii="Calibri" w:hAnsi="Calibri" w:eastAsia="" w:cs="" w:asciiTheme="majorHAnsi" w:cstheme="majorBidi" w:eastAsiaTheme="majorEastAsia" w:hAnsiTheme="majorHAnsi"/>
      <w:color w:themeColor="accent1" w:val="4F81BD"/>
      <w:sz w:val="24"/>
      <w:szCs w:val="24"/>
    </w:rPr>
  </w:style>
  <w:style w:type="paragraph" w:styleId="Heading8">
    <w:name w:val="Heading 8"/>
    <w:basedOn w:val="Normal"/>
    <w:next w:val="BodyText"/>
    <w:uiPriority w:val="9"/>
    <w:unhideWhenUsed/>
    <w:qFormat/>
    <w:pPr>
      <w:keepNext w:val="true"/>
      <w:keepLines/>
      <w:spacing w:before="200" w:after="0"/>
      <w:outlineLvl w:val="7"/>
    </w:pPr>
    <w:rPr>
      <w:rFonts w:ascii="Calibri" w:hAnsi="Calibri" w:eastAsia="" w:cs="" w:asciiTheme="majorHAnsi" w:cstheme="majorBidi" w:eastAsiaTheme="majorEastAsia" w:hAnsiTheme="majorHAnsi"/>
      <w:color w:themeColor="accent1" w:val="4F81BD"/>
      <w:sz w:val="24"/>
      <w:szCs w:val="24"/>
    </w:rPr>
  </w:style>
  <w:style w:type="paragraph" w:styleId="Heading9">
    <w:name w:val="Heading 9"/>
    <w:basedOn w:val="Normal"/>
    <w:next w:val="BodyText"/>
    <w:uiPriority w:val="9"/>
    <w:unhideWhenUsed/>
    <w:qFormat/>
    <w:pPr>
      <w:keepNext w:val="true"/>
      <w:keepLines/>
      <w:spacing w:before="200" w:after="0"/>
      <w:outlineLvl w:val="8"/>
    </w:pPr>
    <w:rPr>
      <w:rFonts w:ascii="Calibri" w:hAnsi="Calibri" w:eastAsia="" w:cs="" w:asciiTheme="majorHAnsi" w:cstheme="majorBidi" w:eastAsiaTheme="majorEastAsia" w:hAnsiTheme="majorHAnsi"/>
      <w:color w:themeColor="accent1" w:val="4F81BD"/>
      <w:sz w:val="24"/>
      <w:szCs w:val="24"/>
    </w:rPr>
  </w:style>
  <w:style w:type="character" w:styleId="DefaultParagraphFont" w:default="1">
    <w:name w:val="Default Paragraph Font"/>
    <w:semiHidden/>
    <w:unhideWhenUsed/>
    <w:qFormat/>
    <w:rPr/>
  </w:style>
  <w:style w:type="character" w:styleId="BodyTextChar" w:customStyle="1">
    <w:name w:val="Body Text Char"/>
    <w:basedOn w:val="DefaultParagraphFont"/>
    <w:qFormat/>
    <w:rPr/>
  </w:style>
  <w:style w:type="character" w:styleId="VerbatimChar" w:customStyle="1">
    <w:name w:val="Verbatim Char"/>
    <w:basedOn w:val="BodyTextChar"/>
    <w:qFormat/>
    <w:rPr>
      <w:rFonts w:ascii="Consolas" w:hAnsi="Consolas"/>
      <w:sz w:val="22"/>
    </w:rPr>
  </w:style>
  <w:style w:type="character" w:styleId="SectionNumber" w:customStyle="1">
    <w:name w:val="Section Number"/>
    <w:basedOn w:val="BodyTextChar"/>
    <w:qFormat/>
    <w:rPr/>
  </w:style>
  <w:style w:type="character" w:styleId="FootnoteCharacters">
    <w:name w:val="Footnote Characters"/>
    <w:basedOn w:val="BodyTextChar"/>
    <w:qFormat/>
    <w:rPr>
      <w:vertAlign w:val="superscript"/>
    </w:rPr>
  </w:style>
  <w:style w:type="character" w:styleId="FootnoteReference">
    <w:name w:val="Footnote Reference"/>
    <w:rPr>
      <w:vertAlign w:val="superscript"/>
    </w:rPr>
  </w:style>
  <w:style w:type="character" w:styleId="Hyperlink">
    <w:name w:val="Hyperlink"/>
    <w:basedOn w:val="BodyTextChar"/>
    <w:rPr>
      <w:color w:themeColor="accent1" w:val="4F81BD"/>
    </w:rPr>
  </w:style>
  <w:style w:type="character" w:styleId="KeywordTok" w:customStyle="1">
    <w:name w:val="KeywordTok"/>
    <w:basedOn w:val="VerbatimChar"/>
    <w:qFormat/>
    <w:rPr>
      <w:b/>
      <w:color w:val="007020"/>
    </w:rPr>
  </w:style>
  <w:style w:type="character" w:styleId="DataTypeTok" w:customStyle="1">
    <w:name w:val="DataTypeTok"/>
    <w:basedOn w:val="VerbatimChar"/>
    <w:qFormat/>
    <w:rPr>
      <w:color w:val="902000"/>
    </w:rPr>
  </w:style>
  <w:style w:type="character" w:styleId="DecValTok" w:customStyle="1">
    <w:name w:val="DecValTok"/>
    <w:basedOn w:val="VerbatimChar"/>
    <w:qFormat/>
    <w:rPr>
      <w:color w:val="40A070"/>
    </w:rPr>
  </w:style>
  <w:style w:type="character" w:styleId="BaseNTok" w:customStyle="1">
    <w:name w:val="BaseNTok"/>
    <w:basedOn w:val="VerbatimChar"/>
    <w:qFormat/>
    <w:rPr>
      <w:color w:val="40A070"/>
    </w:rPr>
  </w:style>
  <w:style w:type="character" w:styleId="FloatTok" w:customStyle="1">
    <w:name w:val="FloatTok"/>
    <w:basedOn w:val="VerbatimChar"/>
    <w:qFormat/>
    <w:rPr>
      <w:color w:val="40A070"/>
    </w:rPr>
  </w:style>
  <w:style w:type="character" w:styleId="ConstantTok" w:customStyle="1">
    <w:name w:val="ConstantTok"/>
    <w:basedOn w:val="VerbatimChar"/>
    <w:qFormat/>
    <w:rPr>
      <w:color w:val="880000"/>
    </w:rPr>
  </w:style>
  <w:style w:type="character" w:styleId="CharTok" w:customStyle="1">
    <w:name w:val="CharTok"/>
    <w:basedOn w:val="VerbatimChar"/>
    <w:qFormat/>
    <w:rPr>
      <w:color w:val="4070A0"/>
    </w:rPr>
  </w:style>
  <w:style w:type="character" w:styleId="SpecialCharTok" w:customStyle="1">
    <w:name w:val="SpecialCharTok"/>
    <w:basedOn w:val="VerbatimChar"/>
    <w:qFormat/>
    <w:rPr>
      <w:color w:val="4070A0"/>
    </w:rPr>
  </w:style>
  <w:style w:type="character" w:styleId="StringTok" w:customStyle="1">
    <w:name w:val="StringTok"/>
    <w:basedOn w:val="VerbatimChar"/>
    <w:qFormat/>
    <w:rPr>
      <w:color w:val="4070A0"/>
    </w:rPr>
  </w:style>
  <w:style w:type="character" w:styleId="VerbatimStringTok" w:customStyle="1">
    <w:name w:val="VerbatimStringTok"/>
    <w:basedOn w:val="VerbatimChar"/>
    <w:qFormat/>
    <w:rPr>
      <w:color w:val="4070A0"/>
    </w:rPr>
  </w:style>
  <w:style w:type="character" w:styleId="SpecialStringTok" w:customStyle="1">
    <w:name w:val="SpecialStringTok"/>
    <w:basedOn w:val="VerbatimChar"/>
    <w:qFormat/>
    <w:rPr>
      <w:color w:val="BB6688"/>
    </w:rPr>
  </w:style>
  <w:style w:type="character" w:styleId="ImportTok" w:customStyle="1">
    <w:name w:val="ImportTok"/>
    <w:basedOn w:val="VerbatimChar"/>
    <w:qFormat/>
    <w:rPr>
      <w:b/>
      <w:color w:val="008000"/>
    </w:rPr>
  </w:style>
  <w:style w:type="character" w:styleId="CommentTok" w:customStyle="1">
    <w:name w:val="CommentTok"/>
    <w:basedOn w:val="VerbatimChar"/>
    <w:qFormat/>
    <w:rPr>
      <w:i/>
      <w:color w:val="60A0B0"/>
    </w:rPr>
  </w:style>
  <w:style w:type="character" w:styleId="DocumentationTok" w:customStyle="1">
    <w:name w:val="DocumentationTok"/>
    <w:basedOn w:val="VerbatimChar"/>
    <w:qFormat/>
    <w:rPr>
      <w:i/>
      <w:color w:val="BA2121"/>
    </w:rPr>
  </w:style>
  <w:style w:type="character" w:styleId="AnnotationTok" w:customStyle="1">
    <w:name w:val="AnnotationTok"/>
    <w:basedOn w:val="VerbatimChar"/>
    <w:qFormat/>
    <w:rPr>
      <w:b/>
      <w:i/>
      <w:color w:val="60A0B0"/>
    </w:rPr>
  </w:style>
  <w:style w:type="character" w:styleId="CommentVarTok" w:customStyle="1">
    <w:name w:val="CommentVarTok"/>
    <w:basedOn w:val="VerbatimChar"/>
    <w:qFormat/>
    <w:rPr>
      <w:b/>
      <w:i/>
      <w:color w:val="60A0B0"/>
    </w:rPr>
  </w:style>
  <w:style w:type="character" w:styleId="OtherTok" w:customStyle="1">
    <w:name w:val="OtherTok"/>
    <w:basedOn w:val="VerbatimChar"/>
    <w:qFormat/>
    <w:rPr>
      <w:color w:val="007020"/>
    </w:rPr>
  </w:style>
  <w:style w:type="character" w:styleId="FunctionTok" w:customStyle="1">
    <w:name w:val="FunctionTok"/>
    <w:basedOn w:val="VerbatimChar"/>
    <w:qFormat/>
    <w:rPr>
      <w:color w:val="06287E"/>
    </w:rPr>
  </w:style>
  <w:style w:type="character" w:styleId="VariableTok" w:customStyle="1">
    <w:name w:val="VariableTok"/>
    <w:basedOn w:val="VerbatimChar"/>
    <w:qFormat/>
    <w:rPr>
      <w:color w:val="19177C"/>
    </w:rPr>
  </w:style>
  <w:style w:type="character" w:styleId="ControlFlowTok" w:customStyle="1">
    <w:name w:val="ControlFlowTok"/>
    <w:basedOn w:val="VerbatimChar"/>
    <w:qFormat/>
    <w:rPr>
      <w:b/>
      <w:color w:val="007020"/>
    </w:rPr>
  </w:style>
  <w:style w:type="character" w:styleId="OperatorTok" w:customStyle="1">
    <w:name w:val="OperatorTok"/>
    <w:basedOn w:val="VerbatimChar"/>
    <w:qFormat/>
    <w:rPr>
      <w:color w:val="666666"/>
    </w:rPr>
  </w:style>
  <w:style w:type="character" w:styleId="BuiltInTok" w:customStyle="1">
    <w:name w:val="BuiltInTok"/>
    <w:basedOn w:val="VerbatimChar"/>
    <w:qFormat/>
    <w:rPr>
      <w:color w:val="008000"/>
    </w:rPr>
  </w:style>
  <w:style w:type="character" w:styleId="ExtensionTok" w:customStyle="1">
    <w:name w:val="ExtensionTok"/>
    <w:basedOn w:val="VerbatimChar"/>
    <w:qFormat/>
    <w:rPr/>
  </w:style>
  <w:style w:type="character" w:styleId="PreprocessorTok" w:customStyle="1">
    <w:name w:val="PreprocessorTok"/>
    <w:basedOn w:val="VerbatimChar"/>
    <w:qFormat/>
    <w:rPr>
      <w:color w:val="BC7A00"/>
    </w:rPr>
  </w:style>
  <w:style w:type="character" w:styleId="AttributeTok" w:customStyle="1">
    <w:name w:val="AttributeTok"/>
    <w:basedOn w:val="VerbatimChar"/>
    <w:qFormat/>
    <w:rPr>
      <w:color w:val="7D9029"/>
    </w:rPr>
  </w:style>
  <w:style w:type="character" w:styleId="RegionMarkerTok" w:customStyle="1">
    <w:name w:val="RegionMarkerTok"/>
    <w:basedOn w:val="VerbatimChar"/>
    <w:qFormat/>
    <w:rPr/>
  </w:style>
  <w:style w:type="character" w:styleId="InformationTok" w:customStyle="1">
    <w:name w:val="InformationTok"/>
    <w:basedOn w:val="VerbatimChar"/>
    <w:qFormat/>
    <w:rPr>
      <w:b/>
      <w:i/>
      <w:color w:val="60A0B0"/>
    </w:rPr>
  </w:style>
  <w:style w:type="character" w:styleId="WarningTok" w:customStyle="1">
    <w:name w:val="WarningTok"/>
    <w:basedOn w:val="VerbatimChar"/>
    <w:qFormat/>
    <w:rPr>
      <w:b/>
      <w:i/>
      <w:color w:val="60A0B0"/>
    </w:rPr>
  </w:style>
  <w:style w:type="character" w:styleId="AlertTok" w:customStyle="1">
    <w:name w:val="AlertTok"/>
    <w:basedOn w:val="VerbatimChar"/>
    <w:qFormat/>
    <w:rPr>
      <w:b/>
      <w:color w:val="FF0000"/>
    </w:rPr>
  </w:style>
  <w:style w:type="character" w:styleId="ErrorTok" w:customStyle="1">
    <w:name w:val="ErrorTok"/>
    <w:basedOn w:val="VerbatimChar"/>
    <w:qFormat/>
    <w:rPr>
      <w:b/>
      <w:color w:val="FF0000"/>
    </w:rPr>
  </w:style>
  <w:style w:type="character" w:styleId="NormalTok" w:customStyle="1">
    <w:name w:val="NormalTok"/>
    <w:basedOn w:val="VerbatimChar"/>
    <w:qFormat/>
    <w:rPr/>
  </w:style>
  <w:style w:type="paragraph" w:styleId="Heading">
    <w:name w:val="Heading"/>
    <w:basedOn w:val="Normal"/>
    <w:next w:val="BodyText"/>
    <w:qFormat/>
    <w:pPr>
      <w:keepNext w:val="true"/>
      <w:spacing w:before="240" w:after="120"/>
    </w:pPr>
    <w:rPr>
      <w:rFonts w:ascii="Liberation Sans" w:hAnsi="Liberation Sans" w:eastAsia="Noto Sans CJK SC" w:cs="FreeSans"/>
      <w:sz w:val="28"/>
      <w:szCs w:val="28"/>
    </w:rPr>
  </w:style>
  <w:style w:type="paragraph" w:styleId="BodyText">
    <w:name w:val="Body Text"/>
    <w:basedOn w:val="Normal"/>
    <w:link w:val="BodyTextChar"/>
    <w:qFormat/>
    <w:pPr>
      <w:spacing w:before="180" w:after="180"/>
    </w:pPr>
    <w:rPr/>
  </w:style>
  <w:style w:type="paragraph" w:styleId="List">
    <w:name w:val="List"/>
    <w:basedOn w:val="BodyText"/>
    <w:pPr/>
    <w:rPr>
      <w:rFonts w:cs="FreeSans"/>
    </w:rPr>
  </w:style>
  <w:style w:type="paragraph" w:styleId="Caption">
    <w:name w:val="Caption"/>
    <w:basedOn w:val="Normal"/>
    <w:link w:val="BodyTextChar"/>
    <w:qFormat/>
    <w:pPr>
      <w:spacing w:before="0" w:after="120"/>
    </w:pPr>
    <w:rPr>
      <w:i/>
    </w:rPr>
  </w:style>
  <w:style w:type="paragraph" w:styleId="Index">
    <w:name w:val="Index"/>
    <w:basedOn w:val="Normal"/>
    <w:qFormat/>
    <w:pPr>
      <w:suppressLineNumbers/>
    </w:pPr>
    <w:rPr>
      <w:rFonts w:cs="FreeSans"/>
    </w:rPr>
  </w:style>
  <w:style w:type="paragraph" w:styleId="FirstParagraph" w:customStyle="1">
    <w:name w:val="First Paragraph"/>
    <w:basedOn w:val="BodyText"/>
    <w:next w:val="BodyText"/>
    <w:qFormat/>
    <w:pPr/>
    <w:rPr/>
  </w:style>
  <w:style w:type="paragraph" w:styleId="Compact" w:customStyle="1">
    <w:name w:val="Compact"/>
    <w:basedOn w:val="BodyText"/>
    <w:qFormat/>
    <w:pPr>
      <w:spacing w:before="36" w:after="36"/>
    </w:pPr>
    <w:rPr/>
  </w:style>
  <w:style w:type="paragraph" w:styleId="Title">
    <w:name w:val="Title"/>
    <w:basedOn w:val="Normal"/>
    <w:next w:val="BodyText"/>
    <w:qFormat/>
    <w:pPr>
      <w:keepNext w:val="true"/>
      <w:keepLines/>
      <w:spacing w:before="480" w:after="240"/>
      <w:jc w:val="center"/>
    </w:pPr>
    <w:rPr>
      <w:rFonts w:ascii="Calibri" w:hAnsi="Calibri" w:eastAsia="" w:cs="" w:asciiTheme="majorHAnsi" w:cstheme="majorBidi" w:eastAsiaTheme="majorEastAsia" w:hAnsiTheme="majorHAnsi"/>
      <w:b/>
      <w:bCs/>
      <w:color w:themeColor="accent1" w:themeShade="b5" w:val="345A8A"/>
      <w:sz w:val="36"/>
      <w:szCs w:val="36"/>
    </w:rPr>
  </w:style>
  <w:style w:type="paragraph" w:styleId="Subtitle">
    <w:name w:val="Subtitle"/>
    <w:basedOn w:val="Title"/>
    <w:next w:val="BodyText"/>
    <w:qFormat/>
    <w:pPr>
      <w:keepNext w:val="true"/>
      <w:keepLines/>
      <w:spacing w:before="240" w:after="240"/>
      <w:jc w:val="center"/>
    </w:pPr>
    <w:rPr>
      <w:sz w:val="30"/>
      <w:szCs w:val="30"/>
    </w:rPr>
  </w:style>
  <w:style w:type="paragraph" w:styleId="Author" w:customStyle="1">
    <w:name w:val="Author"/>
    <w:next w:val="BodyText"/>
    <w:qFormat/>
    <w:pPr>
      <w:keepNext w:val="true"/>
      <w:keepLines/>
      <w:widowControl/>
      <w:bidi w:val="0"/>
      <w:spacing w:before="0" w:after="200"/>
      <w:jc w:val="center"/>
    </w:pPr>
    <w:rPr>
      <w:rFonts w:ascii="Cambria" w:hAnsi="Cambria" w:eastAsia="Cambria" w:cs="" w:asciiTheme="minorHAnsi" w:cstheme="minorBidi" w:eastAsiaTheme="minorHAnsi" w:hAnsiTheme="minorHAnsi"/>
      <w:color w:val="auto"/>
      <w:kern w:val="0"/>
      <w:sz w:val="24"/>
      <w:szCs w:val="24"/>
      <w:lang w:val="en-US" w:eastAsia="en-US" w:bidi="ar-SA"/>
    </w:rPr>
  </w:style>
  <w:style w:type="paragraph" w:styleId="Date">
    <w:name w:val="Date"/>
    <w:next w:val="BodyText"/>
    <w:qFormat/>
    <w:pPr>
      <w:keepNext w:val="true"/>
      <w:keepLines/>
      <w:widowControl/>
      <w:bidi w:val="0"/>
      <w:spacing w:before="0" w:after="200"/>
      <w:jc w:val="center"/>
    </w:pPr>
    <w:rPr>
      <w:rFonts w:ascii="Cambria" w:hAnsi="Cambria" w:eastAsia="Cambria" w:cs="" w:asciiTheme="minorHAnsi" w:cstheme="minorBidi" w:eastAsiaTheme="minorHAnsi" w:hAnsiTheme="minorHAnsi"/>
      <w:color w:val="auto"/>
      <w:kern w:val="0"/>
      <w:sz w:val="24"/>
      <w:szCs w:val="24"/>
      <w:lang w:val="en-US" w:eastAsia="en-US" w:bidi="ar-SA"/>
    </w:rPr>
  </w:style>
  <w:style w:type="paragraph" w:styleId="AbstractTitle" w:customStyle="1">
    <w:name w:val="Abstract Title"/>
    <w:basedOn w:val="Normal"/>
    <w:next w:val="Abstract"/>
    <w:qFormat/>
    <w:pPr>
      <w:keepNext w:val="true"/>
      <w:keepLines/>
      <w:spacing w:before="300" w:after="0"/>
      <w:jc w:val="center"/>
    </w:pPr>
    <w:rPr>
      <w:b/>
      <w:color w:val="345A8A"/>
      <w:sz w:val="20"/>
      <w:szCs w:val="20"/>
    </w:rPr>
  </w:style>
  <w:style w:type="paragraph" w:styleId="Abstract" w:customStyle="1">
    <w:name w:val="Abstract"/>
    <w:basedOn w:val="Normal"/>
    <w:next w:val="BodyText"/>
    <w:qFormat/>
    <w:pPr>
      <w:keepNext w:val="true"/>
      <w:keepLines/>
      <w:spacing w:before="100" w:after="300"/>
    </w:pPr>
    <w:rPr>
      <w:sz w:val="20"/>
      <w:szCs w:val="20"/>
    </w:rPr>
  </w:style>
  <w:style w:type="paragraph" w:styleId="Bibliography">
    <w:name w:val="Bibliography"/>
    <w:basedOn w:val="Normal"/>
    <w:qFormat/>
    <w:pPr/>
    <w:rPr/>
  </w:style>
  <w:style w:type="paragraph" w:styleId="BlockText">
    <w:name w:val="Block Text"/>
    <w:basedOn w:val="BodyText"/>
    <w:next w:val="BodyText"/>
    <w:uiPriority w:val="9"/>
    <w:unhideWhenUsed/>
    <w:qFormat/>
    <w:pPr>
      <w:spacing w:before="100" w:after="100"/>
      <w:ind w:hanging="0" w:start="480" w:end="480"/>
    </w:pPr>
    <w:rPr/>
  </w:style>
  <w:style w:type="paragraph" w:styleId="FootnoteText">
    <w:name w:val="Footnote Text"/>
    <w:basedOn w:val="Normal"/>
    <w:uiPriority w:val="9"/>
    <w:unhideWhenUsed/>
    <w:qFormat/>
    <w:pPr/>
    <w:rPr/>
  </w:style>
  <w:style w:type="paragraph" w:styleId="DefinitionTerm" w:customStyle="1">
    <w:name w:val="Definition Term"/>
    <w:basedOn w:val="Normal"/>
    <w:next w:val="Definition"/>
    <w:qFormat/>
    <w:pPr>
      <w:keepNext w:val="true"/>
      <w:keepLines/>
      <w:spacing w:before="0" w:after="0"/>
    </w:pPr>
    <w:rPr>
      <w:b/>
    </w:rPr>
  </w:style>
  <w:style w:type="paragraph" w:styleId="Definition" w:customStyle="1">
    <w:name w:val="Definition"/>
    <w:basedOn w:val="Normal"/>
    <w:qFormat/>
    <w:pPr/>
    <w:rPr/>
  </w:style>
  <w:style w:type="paragraph" w:styleId="TableCaption" w:customStyle="1">
    <w:name w:val="Table Caption"/>
    <w:basedOn w:val="Caption"/>
    <w:qFormat/>
    <w:pPr>
      <w:keepNext w:val="true"/>
    </w:pPr>
    <w:rPr/>
  </w:style>
  <w:style w:type="paragraph" w:styleId="ImageCaption" w:customStyle="1">
    <w:name w:val="Image Caption"/>
    <w:basedOn w:val="Caption"/>
    <w:qFormat/>
    <w:pPr/>
    <w:rPr/>
  </w:style>
  <w:style w:type="paragraph" w:styleId="Figure" w:customStyle="1">
    <w:name w:val="Figure"/>
    <w:basedOn w:val="Normal"/>
    <w:qFormat/>
    <w:pPr/>
    <w:rPr/>
  </w:style>
  <w:style w:type="paragraph" w:styleId="CaptionedFigure" w:customStyle="1">
    <w:name w:val="Captioned Figure"/>
    <w:basedOn w:val="Figure"/>
    <w:qFormat/>
    <w:pPr>
      <w:keepNext w:val="true"/>
    </w:pPr>
    <w:rPr/>
  </w:style>
  <w:style w:type="paragraph" w:styleId="IndexHeading">
    <w:name w:val="Index Heading"/>
    <w:basedOn w:val="Heading"/>
    <w:pPr/>
    <w:rPr/>
  </w:style>
  <w:style w:type="paragraph" w:styleId="TOCHeading">
    <w:name w:val="TOC Heading"/>
    <w:basedOn w:val="Heading1"/>
    <w:next w:val="BodyText"/>
    <w:uiPriority w:val="39"/>
    <w:unhideWhenUsed/>
    <w:qFormat/>
    <w:pPr>
      <w:spacing w:lineRule="auto" w:line="259" w:before="240" w:after="0"/>
      <w:outlineLvl w:val="9"/>
    </w:pPr>
    <w:rPr>
      <w:rFonts w:ascii="Calibri" w:hAnsi="Calibri" w:eastAsia="" w:cs="" w:asciiTheme="majorHAnsi" w:cstheme="majorBidi" w:eastAsiaTheme="majorEastAsia" w:hAnsiTheme="majorHAnsi"/>
      <w:b w:val="false"/>
      <w:bCs w:val="false"/>
      <w:color w:themeColor="accent1" w:themeShade="bf" w:val="365F91"/>
    </w:rPr>
  </w:style>
  <w:style w:type="paragraph" w:styleId="SourceCode" w:customStyle="1">
    <w:name w:val="Source Code"/>
    <w:basedOn w:val="Normal"/>
    <w:link w:val="VerbatimChar"/>
    <w:qFormat/>
    <w:pPr/>
    <w:rPr/>
  </w:style>
  <w:style w:type="table" w:default="1" w:styleId="Table">
    <w:name w:val="Table"/>
    <w:basedOn w:val="TableNormal"/>
    <w:semiHidden/>
    <w:unhideWhenUsed/>
    <w:qFormat/>
    <w:tblPr>
      <w:tblCellMar>
        <w:top w:w="0" w:type="dxa"/>
        <w:left w:w="108" w:type="dxa"/>
        <w:bottom w:w="0" w:type="dxa"/>
        <w:right w:w="108" w:type="dxa"/>
      </w:tblCellMar>
    </w:tblPr>
    <w:tblStylePr w:type="firstRow">
      <w:tblPr/>
      <w:tcPr>
        <w:tcBorders>
          <w:bottom w:val="single"/>
        </w:tcBorders>
        <w:vAlign w:val="bottom"/>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rufus.ie/" TargetMode="External"/><Relationship Id="rId3" Type="http://schemas.openxmlformats.org/officeDocument/2006/relationships/hyperlink" Target="https://rufus.ie/" TargetMode="External"/><Relationship Id="rId4" Type="http://schemas.openxmlformats.org/officeDocument/2006/relationships/hyperlink" Target="https://jayrbarrios.com/"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6</TotalTime>
  <Application>LibreOffice/24.2.7.2$Linux_X86_64 LibreOffice_project/420$Build-2</Application>
  <AppVersion>15.0000</AppVersion>
  <Pages>1</Pages>
  <Words>83</Words>
  <Characters>475</Characters>
  <CharactersWithSpaces>583</CharactersWithSpaces>
  <Paragraphs>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2026-06-27T02:49:54Z</dcterms:created>
  <dc:creator/>
  <dc:description/>
  <dc:language>en</dc:language>
  <cp:lastModifiedBy/>
  <dcterms:modified xsi:type="dcterms:W3CDTF">2026-06-27T02:49:54Z</dcterms:modified>
  <cp:revision>0</cp:revision>
  <dc:subject/>
  <dc:title>Window Image Builder — User Guide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iewport">
    <vt:lpwstr>width=device-width, initial-scale=1</vt:lpwstr>
  </property>
</Properties>
</file>